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A9" w:rsidRDefault="00BD61BD" w:rsidP="00BD61BD">
      <w:pPr>
        <w:jc w:val="center"/>
        <w:rPr>
          <w:b/>
          <w:lang w:val="ro-RO"/>
        </w:rPr>
      </w:pPr>
      <w:r>
        <w:rPr>
          <w:b/>
          <w:lang w:val="ro-RO"/>
        </w:rPr>
        <w:t>PROBA PRACTICĂ</w:t>
      </w:r>
    </w:p>
    <w:p w:rsidR="00BD61BD" w:rsidRDefault="00BD61BD" w:rsidP="00BD61BD">
      <w:pPr>
        <w:jc w:val="center"/>
        <w:rPr>
          <w:b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41"/>
      </w:tblGrid>
      <w:tr w:rsidR="00BD61BD" w:rsidRPr="00DD5767" w:rsidTr="00571B8A">
        <w:tc>
          <w:tcPr>
            <w:tcW w:w="4647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Domeniul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pregătire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 xml:space="preserve">Economic -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BD61BD" w:rsidRPr="00DD5767" w:rsidTr="00571B8A">
        <w:tc>
          <w:tcPr>
            <w:tcW w:w="4647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Calificarea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economice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administrație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achiziții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și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contractări</w:t>
            </w:r>
            <w:proofErr w:type="spellEnd"/>
          </w:p>
        </w:tc>
      </w:tr>
      <w:tr w:rsidR="00BD61BD" w:rsidRPr="00DD5767" w:rsidTr="00571B8A">
        <w:tc>
          <w:tcPr>
            <w:tcW w:w="4647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</w:rPr>
            </w:pPr>
            <w:r w:rsidRPr="002C3D45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641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Marketing</w:t>
            </w:r>
          </w:p>
        </w:tc>
      </w:tr>
      <w:tr w:rsidR="00BD61BD" w:rsidRPr="00DD5767" w:rsidTr="00571B8A">
        <w:tc>
          <w:tcPr>
            <w:tcW w:w="4647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4641" w:type="dxa"/>
          </w:tcPr>
          <w:p w:rsidR="00BD61BD" w:rsidRPr="002C3D45" w:rsidRDefault="00BD61BD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>a X</w:t>
            </w:r>
            <w:r>
              <w:rPr>
                <w:rFonts w:eastAsiaTheme="minorEastAsia"/>
                <w:b/>
              </w:rPr>
              <w:t>I</w:t>
            </w:r>
            <w:r w:rsidRPr="002C3D45">
              <w:rPr>
                <w:rFonts w:eastAsiaTheme="minorEastAsia"/>
                <w:b/>
              </w:rPr>
              <w:t>-a</w:t>
            </w:r>
          </w:p>
        </w:tc>
      </w:tr>
    </w:tbl>
    <w:p w:rsidR="00BD61BD" w:rsidRPr="00DD5767" w:rsidRDefault="00BD61BD" w:rsidP="00BD61BD"/>
    <w:p w:rsidR="00BD61BD" w:rsidRDefault="00BD61BD" w:rsidP="00BD61BD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p w:rsidR="00BD61BD" w:rsidRPr="00AD69BF" w:rsidRDefault="00BD61BD" w:rsidP="00BD61BD">
      <w:pPr>
        <w:jc w:val="both"/>
        <w:rPr>
          <w:b/>
          <w:lang w:val="ro-RO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8"/>
        <w:gridCol w:w="3656"/>
        <w:gridCol w:w="3094"/>
      </w:tblGrid>
      <w:tr w:rsidR="00BD61BD" w:rsidRPr="00502E27" w:rsidTr="00571B8A">
        <w:tc>
          <w:tcPr>
            <w:tcW w:w="2538" w:type="dxa"/>
          </w:tcPr>
          <w:p w:rsidR="00BD61BD" w:rsidRPr="00502E27" w:rsidRDefault="00BD61BD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Cunoştinţe</w:t>
            </w:r>
            <w:proofErr w:type="spellEnd"/>
          </w:p>
        </w:tc>
        <w:tc>
          <w:tcPr>
            <w:tcW w:w="3656" w:type="dxa"/>
          </w:tcPr>
          <w:p w:rsidR="00BD61BD" w:rsidRPr="00502E27" w:rsidRDefault="00BD61BD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Abilităţi</w:t>
            </w:r>
            <w:proofErr w:type="spellEnd"/>
          </w:p>
        </w:tc>
        <w:tc>
          <w:tcPr>
            <w:tcW w:w="3094" w:type="dxa"/>
          </w:tcPr>
          <w:p w:rsidR="00BD61BD" w:rsidRPr="00502E27" w:rsidRDefault="00BD61BD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Atitudini</w:t>
            </w:r>
            <w:proofErr w:type="spellEnd"/>
          </w:p>
          <w:p w:rsidR="00BD61BD" w:rsidRPr="00502E27" w:rsidRDefault="00BD61BD" w:rsidP="00571B8A">
            <w:pPr>
              <w:jc w:val="center"/>
              <w:rPr>
                <w:b/>
              </w:rPr>
            </w:pPr>
          </w:p>
        </w:tc>
      </w:tr>
      <w:tr w:rsidR="00BD61BD" w:rsidRPr="00502E27" w:rsidTr="00571B8A">
        <w:tc>
          <w:tcPr>
            <w:tcW w:w="2538" w:type="dxa"/>
          </w:tcPr>
          <w:p w:rsidR="00BD61BD" w:rsidRDefault="00BD61BD" w:rsidP="00571B8A">
            <w:pPr>
              <w:autoSpaceDE w:val="0"/>
              <w:autoSpaceDN w:val="0"/>
              <w:adjustRightInd w:val="0"/>
            </w:pPr>
            <w:r>
              <w:t xml:space="preserve">8.1.13.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componentelor</w:t>
            </w:r>
            <w:proofErr w:type="spellEnd"/>
            <w:r>
              <w:t xml:space="preserve"> </w:t>
            </w:r>
            <w:proofErr w:type="spellStart"/>
            <w:r>
              <w:t>micromediului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macromediului</w:t>
            </w:r>
            <w:proofErr w:type="spellEnd"/>
            <w:r>
              <w:t xml:space="preserve"> </w:t>
            </w:r>
          </w:p>
          <w:p w:rsidR="00BD61BD" w:rsidRPr="00502E27" w:rsidRDefault="00BD61BD" w:rsidP="00571B8A">
            <w:pPr>
              <w:jc w:val="both"/>
            </w:pPr>
          </w:p>
        </w:tc>
        <w:tc>
          <w:tcPr>
            <w:tcW w:w="3656" w:type="dxa"/>
          </w:tcPr>
          <w:p w:rsidR="00BD61BD" w:rsidRPr="00502E27" w:rsidRDefault="00BD61BD" w:rsidP="00571B8A">
            <w:pPr>
              <w:autoSpaceDE w:val="0"/>
              <w:autoSpaceDN w:val="0"/>
              <w:adjustRightInd w:val="0"/>
            </w:pPr>
            <w:r>
              <w:rPr>
                <w:i/>
                <w:iCs/>
              </w:rPr>
              <w:t xml:space="preserve">8.2.14. </w:t>
            </w:r>
            <w:proofErr w:type="spellStart"/>
            <w:r>
              <w:rPr>
                <w:i/>
                <w:iCs/>
              </w:rPr>
              <w:t>Analizarea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componentelor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micromediului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şi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macromediului</w:t>
            </w:r>
            <w:proofErr w:type="spellEnd"/>
            <w:r>
              <w:rPr>
                <w:i/>
                <w:iCs/>
              </w:rPr>
              <w:t xml:space="preserve">, </w:t>
            </w:r>
            <w:proofErr w:type="spellStart"/>
            <w:r>
              <w:rPr>
                <w:i/>
                <w:iCs/>
              </w:rPr>
              <w:t>reflectând</w:t>
            </w:r>
            <w:proofErr w:type="spellEnd"/>
            <w:r>
              <w:rPr>
                <w:i/>
                <w:iCs/>
              </w:rPr>
              <w:t xml:space="preserve"> critic </w:t>
            </w:r>
            <w:proofErr w:type="spellStart"/>
            <w:r>
              <w:rPr>
                <w:i/>
                <w:iCs/>
              </w:rPr>
              <w:t>şi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creativ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asupra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influenţelor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exercitate</w:t>
            </w:r>
            <w:proofErr w:type="spellEnd"/>
            <w:r>
              <w:rPr>
                <w:i/>
                <w:iCs/>
              </w:rPr>
              <w:t xml:space="preserve"> de </w:t>
            </w:r>
            <w:proofErr w:type="spellStart"/>
            <w:r>
              <w:rPr>
                <w:i/>
                <w:iCs/>
              </w:rPr>
              <w:t>mediul</w:t>
            </w:r>
            <w:proofErr w:type="spellEnd"/>
            <w:r>
              <w:rPr>
                <w:i/>
                <w:iCs/>
              </w:rPr>
              <w:t xml:space="preserve"> extern</w:t>
            </w:r>
          </w:p>
        </w:tc>
        <w:tc>
          <w:tcPr>
            <w:tcW w:w="3094" w:type="dxa"/>
          </w:tcPr>
          <w:p w:rsidR="00BD61BD" w:rsidRPr="00502E27" w:rsidRDefault="00BD61BD" w:rsidP="00571B8A">
            <w:pPr>
              <w:jc w:val="both"/>
            </w:pPr>
            <w:r>
              <w:t xml:space="preserve">8.3.5. </w:t>
            </w:r>
            <w:proofErr w:type="spellStart"/>
            <w:r>
              <w:t>Colaborarea</w:t>
            </w:r>
            <w:proofErr w:type="spellEnd"/>
            <w:r>
              <w:t xml:space="preserve"> cu </w:t>
            </w:r>
            <w:proofErr w:type="spellStart"/>
            <w:r>
              <w:t>membrii</w:t>
            </w:r>
            <w:proofErr w:type="spellEnd"/>
            <w:r>
              <w:t xml:space="preserve"> </w:t>
            </w:r>
            <w:proofErr w:type="spellStart"/>
            <w:r>
              <w:t>echipei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alegerea</w:t>
            </w:r>
            <w:proofErr w:type="spellEnd"/>
            <w:r>
              <w:t xml:space="preserve"> </w:t>
            </w:r>
            <w:proofErr w:type="spellStart"/>
            <w:r>
              <w:t>strategiei</w:t>
            </w:r>
            <w:proofErr w:type="spellEnd"/>
            <w:r>
              <w:t xml:space="preserve"> de </w:t>
            </w:r>
            <w:proofErr w:type="spellStart"/>
            <w:r>
              <w:t>piaţă</w:t>
            </w:r>
            <w:proofErr w:type="spellEnd"/>
          </w:p>
        </w:tc>
      </w:tr>
    </w:tbl>
    <w:p w:rsidR="00BD61BD" w:rsidRPr="00A36FF3" w:rsidRDefault="00BD61BD" w:rsidP="00BD61BD">
      <w:pPr>
        <w:rPr>
          <w:rFonts w:ascii="Arial" w:hAnsi="Arial" w:cs="Arial"/>
          <w:sz w:val="16"/>
          <w:szCs w:val="16"/>
        </w:rPr>
      </w:pPr>
    </w:p>
    <w:p w:rsidR="00BD61BD" w:rsidRPr="00B5707E" w:rsidRDefault="00BD61BD" w:rsidP="00BD61BD">
      <w:pPr>
        <w:jc w:val="both"/>
        <w:rPr>
          <w:b/>
          <w:lang w:val="ro-RO"/>
        </w:rPr>
      </w:pPr>
      <w:r w:rsidRPr="00B5707E">
        <w:rPr>
          <w:b/>
          <w:lang w:val="ro-RO"/>
        </w:rPr>
        <w:t>Obiective:</w:t>
      </w:r>
    </w:p>
    <w:p w:rsidR="00BD61BD" w:rsidRPr="00EE330D" w:rsidRDefault="00BD61BD" w:rsidP="00BD61BD">
      <w:pPr>
        <w:jc w:val="both"/>
      </w:pPr>
      <w:r w:rsidRPr="00B5707E">
        <w:t>O1.</w:t>
      </w:r>
      <w:r w:rsidRPr="00490F72">
        <w:t xml:space="preserve">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proofErr w:type="gramStart"/>
      <w:r w:rsidRPr="00B5707E">
        <w:t>este</w:t>
      </w:r>
      <w:proofErr w:type="spellEnd"/>
      <w:proofErr w:type="gram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>
        <w:t xml:space="preserve"> </w:t>
      </w:r>
      <w:proofErr w:type="spellStart"/>
      <w:r>
        <w:t>enumere</w:t>
      </w:r>
      <w:proofErr w:type="spellEnd"/>
      <w:r>
        <w:t xml:space="preserve"> </w:t>
      </w:r>
      <w:proofErr w:type="spellStart"/>
      <w:r w:rsidRPr="00EE330D">
        <w:t>elementele</w:t>
      </w:r>
      <w:proofErr w:type="spellEnd"/>
      <w:r w:rsidRPr="00EE330D">
        <w:t xml:space="preserve"> </w:t>
      </w:r>
      <w:proofErr w:type="spellStart"/>
      <w:r w:rsidRPr="00EE330D">
        <w:t>componente</w:t>
      </w:r>
      <w:proofErr w:type="spellEnd"/>
      <w:r w:rsidRPr="00EE330D">
        <w:t xml:space="preserve"> ale </w:t>
      </w:r>
      <w:proofErr w:type="spellStart"/>
      <w:r>
        <w:t>micromediului</w:t>
      </w:r>
      <w:proofErr w:type="spellEnd"/>
      <w:r>
        <w:t xml:space="preserve"> </w:t>
      </w:r>
      <w:proofErr w:type="spellStart"/>
      <w:r>
        <w:t>firmei</w:t>
      </w:r>
      <w:proofErr w:type="spellEnd"/>
    </w:p>
    <w:p w:rsidR="00BD61BD" w:rsidRPr="00EE330D" w:rsidRDefault="00BD61BD" w:rsidP="00BD61BD">
      <w:pPr>
        <w:jc w:val="both"/>
      </w:pPr>
      <w:r w:rsidRPr="00B5707E">
        <w:t xml:space="preserve">O2.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proofErr w:type="gramStart"/>
      <w:r w:rsidRPr="00B5707E">
        <w:t>este</w:t>
      </w:r>
      <w:proofErr w:type="spellEnd"/>
      <w:proofErr w:type="gram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proofErr w:type="spellStart"/>
      <w:r>
        <w:t>i</w:t>
      </w:r>
      <w:r w:rsidRPr="00EE330D">
        <w:t>dentific</w:t>
      </w:r>
      <w:r>
        <w:t>e</w:t>
      </w:r>
      <w:proofErr w:type="spellEnd"/>
      <w:r w:rsidRPr="00EE330D">
        <w:t xml:space="preserve"> </w:t>
      </w:r>
      <w:proofErr w:type="spellStart"/>
      <w:r w:rsidRPr="00EE330D">
        <w:t>elementele</w:t>
      </w:r>
      <w:proofErr w:type="spellEnd"/>
      <w:r w:rsidRPr="00EE330D">
        <w:t xml:space="preserve"> </w:t>
      </w:r>
      <w:proofErr w:type="spellStart"/>
      <w:r w:rsidRPr="00EE330D">
        <w:t>componente</w:t>
      </w:r>
      <w:proofErr w:type="spellEnd"/>
      <w:r w:rsidRPr="00EE330D">
        <w:t xml:space="preserve"> ale </w:t>
      </w:r>
      <w:proofErr w:type="spellStart"/>
      <w:r>
        <w:t>micromediului</w:t>
      </w:r>
      <w:proofErr w:type="spellEnd"/>
      <w:r>
        <w:t xml:space="preserve"> </w:t>
      </w:r>
      <w:proofErr w:type="spellStart"/>
      <w:r>
        <w:t>firmei</w:t>
      </w:r>
      <w:proofErr w:type="spellEnd"/>
    </w:p>
    <w:p w:rsidR="00BD61BD" w:rsidRPr="00490F72" w:rsidRDefault="00BD61BD" w:rsidP="00BD61BD">
      <w:pPr>
        <w:jc w:val="both"/>
        <w:rPr>
          <w:b/>
          <w:lang w:val="ro-RO"/>
        </w:rPr>
      </w:pPr>
      <w:r w:rsidRPr="00490F72">
        <w:t xml:space="preserve">O3. </w:t>
      </w:r>
      <w:proofErr w:type="spellStart"/>
      <w:r w:rsidRPr="00490F72">
        <w:t>Măsura</w:t>
      </w:r>
      <w:proofErr w:type="spellEnd"/>
      <w:r w:rsidRPr="00490F72">
        <w:t xml:space="preserve"> </w:t>
      </w:r>
      <w:proofErr w:type="spellStart"/>
      <w:r w:rsidRPr="00490F72">
        <w:t>în</w:t>
      </w:r>
      <w:proofErr w:type="spellEnd"/>
      <w:r w:rsidRPr="00490F72">
        <w:t xml:space="preserve"> care </w:t>
      </w:r>
      <w:proofErr w:type="spellStart"/>
      <w:r w:rsidRPr="00490F72">
        <w:t>elevul</w:t>
      </w:r>
      <w:proofErr w:type="spellEnd"/>
      <w:r w:rsidRPr="00490F72">
        <w:t xml:space="preserve"> </w:t>
      </w:r>
      <w:proofErr w:type="spellStart"/>
      <w:r w:rsidRPr="00490F72">
        <w:t>este</w:t>
      </w:r>
      <w:proofErr w:type="spellEnd"/>
      <w:r w:rsidRPr="00490F72">
        <w:t xml:space="preserve"> </w:t>
      </w:r>
      <w:proofErr w:type="spellStart"/>
      <w:r w:rsidRPr="00490F72">
        <w:t>capabil</w:t>
      </w:r>
      <w:proofErr w:type="spellEnd"/>
      <w:r w:rsidRPr="00490F72">
        <w:t xml:space="preserve"> </w:t>
      </w:r>
      <w:proofErr w:type="spellStart"/>
      <w:proofErr w:type="gramStart"/>
      <w:r w:rsidRPr="00490F72">
        <w:t>să</w:t>
      </w:r>
      <w:proofErr w:type="spellEnd"/>
      <w:r w:rsidRPr="00490F72">
        <w:t xml:space="preserve"> </w:t>
      </w:r>
      <w:r w:rsidRPr="00490F72">
        <w:rPr>
          <w:lang w:val="ro-RO"/>
        </w:rPr>
        <w:t xml:space="preserve"> argumenteze</w:t>
      </w:r>
      <w:proofErr w:type="gramEnd"/>
      <w:r w:rsidRPr="00490F72">
        <w:rPr>
          <w:lang w:val="ro-RO"/>
        </w:rPr>
        <w:t xml:space="preserve"> alegerea făcută</w:t>
      </w:r>
    </w:p>
    <w:p w:rsidR="00BD61BD" w:rsidRPr="00B5707E" w:rsidRDefault="00BD61BD" w:rsidP="00BD61BD">
      <w:pPr>
        <w:jc w:val="both"/>
        <w:rPr>
          <w:b/>
          <w:lang w:val="ro-RO"/>
        </w:rPr>
      </w:pPr>
      <w:r w:rsidRPr="00B5707E">
        <w:rPr>
          <w:b/>
          <w:lang w:val="ro-RO"/>
        </w:rPr>
        <w:t>Mod de organizare a activităţii:</w:t>
      </w:r>
    </w:p>
    <w:p w:rsidR="00BD61BD" w:rsidRPr="00B5707E" w:rsidRDefault="00BD61BD" w:rsidP="00BD61BD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>Activitate pe grupe</w:t>
      </w:r>
    </w:p>
    <w:p w:rsidR="00BD61BD" w:rsidRPr="00B5707E" w:rsidRDefault="00BD61BD" w:rsidP="00BD61BD">
      <w:pPr>
        <w:jc w:val="both"/>
        <w:rPr>
          <w:b/>
          <w:lang w:val="ro-RO"/>
        </w:rPr>
      </w:pPr>
      <w:r w:rsidRPr="00B5707E">
        <w:rPr>
          <w:b/>
          <w:lang w:val="ro-RO"/>
        </w:rPr>
        <w:t>Resurse materiale:</w:t>
      </w:r>
    </w:p>
    <w:p w:rsidR="00BD61BD" w:rsidRPr="00490F72" w:rsidRDefault="00BD61BD" w:rsidP="00BD61BD">
      <w:pPr>
        <w:numPr>
          <w:ilvl w:val="0"/>
          <w:numId w:val="1"/>
        </w:numPr>
        <w:jc w:val="both"/>
        <w:rPr>
          <w:lang w:val="ro-RO"/>
        </w:rPr>
      </w:pPr>
      <w:r w:rsidRPr="00490F72">
        <w:rPr>
          <w:lang w:val="ro-RO"/>
        </w:rPr>
        <w:t>Foi de hârtie, Foi de flipchart</w:t>
      </w:r>
      <w:r>
        <w:rPr>
          <w:lang w:val="ro-RO"/>
        </w:rPr>
        <w:t>, markere</w:t>
      </w:r>
    </w:p>
    <w:p w:rsidR="00BD61BD" w:rsidRPr="00B5707E" w:rsidRDefault="00BD61BD" w:rsidP="00BD61BD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Durată: 45 minute </w:t>
      </w:r>
    </w:p>
    <w:p w:rsidR="00BD61BD" w:rsidRDefault="00BD61BD" w:rsidP="00BD61BD">
      <w:pPr>
        <w:jc w:val="both"/>
        <w:rPr>
          <w:b/>
          <w:lang w:val="ro-RO"/>
        </w:rPr>
      </w:pPr>
    </w:p>
    <w:p w:rsidR="00BD61BD" w:rsidRPr="00B5707E" w:rsidRDefault="00BD61BD" w:rsidP="00BD61BD">
      <w:pPr>
        <w:jc w:val="both"/>
        <w:rPr>
          <w:b/>
          <w:lang w:val="ro-RO"/>
        </w:rPr>
      </w:pPr>
      <w:r w:rsidRPr="00B5707E">
        <w:rPr>
          <w:b/>
          <w:lang w:val="ro-RO"/>
        </w:rPr>
        <w:t>Desfăşurare:</w:t>
      </w:r>
    </w:p>
    <w:p w:rsidR="00BD61BD" w:rsidRPr="00B5707E" w:rsidRDefault="00BD61BD" w:rsidP="00BD61BD">
      <w:pPr>
        <w:jc w:val="both"/>
        <w:rPr>
          <w:b/>
          <w:lang w:val="ro-RO"/>
        </w:rPr>
      </w:pPr>
      <w:r w:rsidRPr="00B5707E">
        <w:rPr>
          <w:b/>
          <w:lang w:val="ro-RO"/>
        </w:rPr>
        <w:t>Pregătire:</w:t>
      </w:r>
    </w:p>
    <w:p w:rsidR="00BD61BD" w:rsidRPr="00B5707E" w:rsidRDefault="00BD61BD" w:rsidP="00BD61BD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>Se organizează elevii în grupe de câte 4-5 persoane pe criteriul ales de profesor</w:t>
      </w:r>
    </w:p>
    <w:p w:rsidR="00BD61BD" w:rsidRDefault="00BD61BD" w:rsidP="00BD61BD">
      <w:pPr>
        <w:tabs>
          <w:tab w:val="left" w:pos="1215"/>
        </w:tabs>
        <w:rPr>
          <w:b/>
        </w:rPr>
      </w:pPr>
    </w:p>
    <w:p w:rsidR="00BD61BD" w:rsidRDefault="00BD61BD" w:rsidP="00BD61BD">
      <w:pPr>
        <w:tabs>
          <w:tab w:val="left" w:pos="1215"/>
        </w:tabs>
        <w:rPr>
          <w:b/>
        </w:rPr>
      </w:pPr>
      <w:proofErr w:type="spellStart"/>
      <w:r w:rsidRPr="00824EB3">
        <w:rPr>
          <w:b/>
        </w:rPr>
        <w:t>Activitate</w:t>
      </w:r>
      <w:proofErr w:type="spellEnd"/>
    </w:p>
    <w:p w:rsidR="00BD61BD" w:rsidRPr="00821799" w:rsidRDefault="00BD61BD" w:rsidP="00BD61BD">
      <w:pPr>
        <w:jc w:val="both"/>
        <w:rPr>
          <w:lang w:val="fr-FR"/>
        </w:rPr>
      </w:pPr>
      <w:r w:rsidRPr="00821799">
        <w:rPr>
          <w:lang w:val="ro-RO"/>
        </w:rPr>
        <w:t xml:space="preserve">Firma  </w:t>
      </w:r>
      <w:r>
        <w:rPr>
          <w:lang w:val="ro-RO"/>
        </w:rPr>
        <w:t>Vițeluș</w:t>
      </w:r>
      <w:r w:rsidRPr="00821799">
        <w:rPr>
          <w:lang w:val="ro-RO"/>
        </w:rPr>
        <w:t xml:space="preserve"> SRL  are ca obiect de activitate producţia şi comercializarea de carne şi produse din carne.</w:t>
      </w:r>
      <w:r>
        <w:rPr>
          <w:lang w:val="ro-RO"/>
        </w:rPr>
        <w:t xml:space="preserve"> </w:t>
      </w:r>
      <w:r w:rsidRPr="00821799">
        <w:rPr>
          <w:lang w:val="ro-RO"/>
        </w:rPr>
        <w:t>In judeţ mai există producători de produse din carne-  VALMAR 05 SRL, C</w:t>
      </w:r>
      <w:r>
        <w:rPr>
          <w:lang w:val="ro-RO"/>
        </w:rPr>
        <w:t>omsoradi</w:t>
      </w:r>
      <w:r w:rsidRPr="00821799">
        <w:rPr>
          <w:lang w:val="ro-RO"/>
        </w:rPr>
        <w:t xml:space="preserve"> SRL, RoxAna SRL.</w:t>
      </w: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oferă</w:t>
      </w:r>
      <w:proofErr w:type="spellEnd"/>
      <w:r w:rsidRPr="00821799">
        <w:rPr>
          <w:lang w:val="fr-FR"/>
        </w:rPr>
        <w:t xml:space="preserve"> se </w:t>
      </w:r>
      <w:proofErr w:type="spellStart"/>
      <w:r w:rsidRPr="00821799">
        <w:rPr>
          <w:lang w:val="fr-FR"/>
        </w:rPr>
        <w:t>aprovizionează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cu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materii</w:t>
      </w:r>
      <w:proofErr w:type="spellEnd"/>
      <w:r w:rsidRPr="00821799">
        <w:rPr>
          <w:lang w:val="fr-FR"/>
        </w:rPr>
        <w:t xml:space="preserve"> prime de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producătorii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agricoli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zonă</w:t>
      </w:r>
      <w:proofErr w:type="spellEnd"/>
      <w:r w:rsidRPr="00821799">
        <w:t>.</w:t>
      </w:r>
    </w:p>
    <w:p w:rsidR="00BD61BD" w:rsidRPr="00821799" w:rsidRDefault="00BD61BD" w:rsidP="00BD61BD">
      <w:pPr>
        <w:jc w:val="both"/>
        <w:rPr>
          <w:lang w:val="fr-FR"/>
        </w:rPr>
      </w:pP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a </w:t>
      </w:r>
      <w:proofErr w:type="spellStart"/>
      <w:r w:rsidRPr="00821799">
        <w:rPr>
          <w:lang w:val="fr-FR"/>
        </w:rPr>
        <w:t>angajat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personal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prin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intermediul</w:t>
      </w:r>
      <w:proofErr w:type="spellEnd"/>
      <w:r w:rsidRPr="00821799">
        <w:rPr>
          <w:lang w:val="fr-FR"/>
        </w:rPr>
        <w:t xml:space="preserve"> AJOFM. </w:t>
      </w: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colaborează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cu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Grupul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Şcolar</w:t>
      </w:r>
      <w:proofErr w:type="spellEnd"/>
      <w:r w:rsidRPr="00821799">
        <w:rPr>
          <w:lang w:val="fr-FR"/>
        </w:rPr>
        <w:t xml:space="preserve"> de </w:t>
      </w:r>
      <w:proofErr w:type="spellStart"/>
      <w:r w:rsidRPr="00821799">
        <w:rPr>
          <w:lang w:val="fr-FR"/>
        </w:rPr>
        <w:t>Meserii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şi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Servicii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în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vederea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pregătirii</w:t>
      </w:r>
      <w:proofErr w:type="spellEnd"/>
      <w:r w:rsidRPr="00821799">
        <w:rPr>
          <w:lang w:val="fr-FR"/>
        </w:rPr>
        <w:t xml:space="preserve"> practice a </w:t>
      </w:r>
      <w:proofErr w:type="spellStart"/>
      <w:r w:rsidRPr="00821799">
        <w:rPr>
          <w:lang w:val="fr-FR"/>
        </w:rPr>
        <w:t>elevilor</w:t>
      </w:r>
      <w:proofErr w:type="spellEnd"/>
      <w:r w:rsidRPr="00821799">
        <w:rPr>
          <w:lang w:val="fr-FR"/>
        </w:rPr>
        <w:t xml:space="preserve"> </w:t>
      </w:r>
      <w:proofErr w:type="gramStart"/>
      <w:r w:rsidRPr="00821799">
        <w:rPr>
          <w:lang w:val="fr-FR"/>
        </w:rPr>
        <w:t>ce</w:t>
      </w:r>
      <w:proofErr w:type="gram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urmează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profilul</w:t>
      </w:r>
      <w:proofErr w:type="spellEnd"/>
      <w:r w:rsidRPr="00821799">
        <w:rPr>
          <w:lang w:val="fr-FR"/>
        </w:rPr>
        <w:t xml:space="preserve"> industrie </w:t>
      </w:r>
      <w:proofErr w:type="spellStart"/>
      <w:r w:rsidRPr="00821799">
        <w:rPr>
          <w:lang w:val="fr-FR"/>
        </w:rPr>
        <w:t>alimentară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în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scopul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angajării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lor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ulterioare</w:t>
      </w:r>
      <w:proofErr w:type="spellEnd"/>
      <w:r w:rsidRPr="00821799">
        <w:rPr>
          <w:lang w:val="fr-FR"/>
        </w:rPr>
        <w:t>.</w:t>
      </w:r>
    </w:p>
    <w:p w:rsidR="00BD61BD" w:rsidRPr="00821799" w:rsidRDefault="00BD61BD" w:rsidP="00BD61BD">
      <w:pPr>
        <w:jc w:val="both"/>
        <w:rPr>
          <w:lang w:val="fr-FR"/>
        </w:rPr>
      </w:pP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a </w:t>
      </w:r>
      <w:proofErr w:type="spellStart"/>
      <w:r w:rsidRPr="00821799">
        <w:rPr>
          <w:lang w:val="fr-FR"/>
        </w:rPr>
        <w:t>încheiat</w:t>
      </w:r>
      <w:proofErr w:type="spellEnd"/>
      <w:r w:rsidRPr="00821799">
        <w:rPr>
          <w:lang w:val="fr-FR"/>
        </w:rPr>
        <w:t xml:space="preserve"> contracte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 : ENEL, </w:t>
      </w:r>
      <w:proofErr w:type="spellStart"/>
      <w:r>
        <w:rPr>
          <w:lang w:val="fr-FR"/>
        </w:rPr>
        <w:t>Compania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apă</w:t>
      </w:r>
      <w:proofErr w:type="spellEnd"/>
      <w:r>
        <w:rPr>
          <w:lang w:val="fr-FR"/>
        </w:rPr>
        <w:t xml:space="preserve">, Distrigaz </w:t>
      </w:r>
      <w:proofErr w:type="spellStart"/>
      <w:r w:rsidRPr="00821799">
        <w:rPr>
          <w:lang w:val="fr-FR"/>
        </w:rPr>
        <w:t>pentru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livrare</w:t>
      </w:r>
      <w:proofErr w:type="spellEnd"/>
      <w:r w:rsidRPr="00821799">
        <w:rPr>
          <w:lang w:val="fr-FR"/>
        </w:rPr>
        <w:t xml:space="preserve"> </w:t>
      </w:r>
      <w:proofErr w:type="gramStart"/>
      <w:r w:rsidRPr="00821799">
        <w:rPr>
          <w:lang w:val="fr-FR"/>
        </w:rPr>
        <w:t xml:space="preserve">de </w:t>
      </w:r>
      <w:proofErr w:type="spellStart"/>
      <w:r w:rsidRPr="00821799">
        <w:rPr>
          <w:lang w:val="fr-FR"/>
        </w:rPr>
        <w:t>apă</w:t>
      </w:r>
      <w:proofErr w:type="spellEnd"/>
      <w:proofErr w:type="gramEnd"/>
      <w:r w:rsidRPr="00821799">
        <w:rPr>
          <w:lang w:val="fr-FR"/>
        </w:rPr>
        <w:t xml:space="preserve">, gaze, </w:t>
      </w:r>
      <w:proofErr w:type="spellStart"/>
      <w:r w:rsidRPr="00821799">
        <w:rPr>
          <w:lang w:val="fr-FR"/>
        </w:rPr>
        <w:t>energie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electrică</w:t>
      </w:r>
      <w:proofErr w:type="spellEnd"/>
      <w:r w:rsidRPr="00821799">
        <w:rPr>
          <w:lang w:val="fr-FR"/>
        </w:rPr>
        <w:t xml:space="preserve">. </w:t>
      </w:r>
      <w:proofErr w:type="spellStart"/>
      <w:r>
        <w:rPr>
          <w:lang w:val="fr-FR"/>
        </w:rPr>
        <w:t>Firma</w:t>
      </w:r>
      <w:proofErr w:type="spellEnd"/>
      <w:r>
        <w:rPr>
          <w:lang w:val="fr-FR"/>
        </w:rPr>
        <w:t xml:space="preserve"> are</w:t>
      </w:r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deschis</w:t>
      </w:r>
      <w:proofErr w:type="spellEnd"/>
      <w:r w:rsidRPr="00821799">
        <w:rPr>
          <w:lang w:val="fr-FR"/>
        </w:rPr>
        <w:t xml:space="preserve"> un </w:t>
      </w:r>
      <w:proofErr w:type="spellStart"/>
      <w:r w:rsidRPr="00821799">
        <w:rPr>
          <w:lang w:val="fr-FR"/>
        </w:rPr>
        <w:t>cont</w:t>
      </w:r>
      <w:proofErr w:type="spellEnd"/>
      <w:r w:rsidRPr="00821799">
        <w:rPr>
          <w:lang w:val="fr-FR"/>
        </w:rPr>
        <w:t xml:space="preserve"> la </w:t>
      </w:r>
      <w:proofErr w:type="spellStart"/>
      <w:r w:rsidRPr="00821799">
        <w:rPr>
          <w:lang w:val="fr-FR"/>
        </w:rPr>
        <w:t>Banca</w:t>
      </w:r>
      <w:proofErr w:type="spellEnd"/>
      <w:r w:rsidRPr="00821799">
        <w:rPr>
          <w:lang w:val="fr-FR"/>
        </w:rPr>
        <w:t xml:space="preserve"> Transilvania </w:t>
      </w:r>
      <w:proofErr w:type="spellStart"/>
      <w:r w:rsidRPr="00821799">
        <w:rPr>
          <w:lang w:val="fr-FR"/>
        </w:rPr>
        <w:t>şi</w:t>
      </w:r>
      <w:proofErr w:type="spellEnd"/>
      <w:r w:rsidRPr="00821799">
        <w:rPr>
          <w:lang w:val="fr-FR"/>
        </w:rPr>
        <w:t xml:space="preserve"> un </w:t>
      </w:r>
      <w:proofErr w:type="spellStart"/>
      <w:r w:rsidRPr="00821799">
        <w:rPr>
          <w:lang w:val="fr-FR"/>
        </w:rPr>
        <w:t>cont</w:t>
      </w:r>
      <w:proofErr w:type="spellEnd"/>
      <w:r w:rsidRPr="00821799">
        <w:rPr>
          <w:lang w:val="fr-FR"/>
        </w:rPr>
        <w:t xml:space="preserve"> la </w:t>
      </w:r>
      <w:proofErr w:type="spellStart"/>
      <w:r w:rsidRPr="00821799">
        <w:rPr>
          <w:lang w:val="fr-FR"/>
        </w:rPr>
        <w:t>Trezorerie</w:t>
      </w:r>
      <w:proofErr w:type="spellEnd"/>
      <w:r w:rsidRPr="00821799">
        <w:rPr>
          <w:lang w:val="fr-FR"/>
        </w:rPr>
        <w:t xml:space="preserve">. </w:t>
      </w:r>
      <w:proofErr w:type="spellStart"/>
      <w:r>
        <w:rPr>
          <w:lang w:val="fr-FR"/>
        </w:rPr>
        <w:t>Firma</w:t>
      </w:r>
      <w:proofErr w:type="spellEnd"/>
      <w:r>
        <w:rPr>
          <w:lang w:val="fr-FR"/>
        </w:rPr>
        <w:t xml:space="preserve"> a </w:t>
      </w:r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încheiat</w:t>
      </w:r>
      <w:proofErr w:type="spellEnd"/>
      <w:r w:rsidRPr="00821799">
        <w:rPr>
          <w:lang w:val="fr-FR"/>
        </w:rPr>
        <w:t xml:space="preserve"> </w:t>
      </w:r>
      <w:r>
        <w:rPr>
          <w:lang w:val="fr-FR"/>
        </w:rPr>
        <w:t xml:space="preserve">un </w:t>
      </w:r>
      <w:proofErr w:type="spellStart"/>
      <w:r w:rsidRPr="00821799">
        <w:rPr>
          <w:lang w:val="fr-FR"/>
        </w:rPr>
        <w:t>contract</w:t>
      </w:r>
      <w:proofErr w:type="spellEnd"/>
      <w:r w:rsidRPr="00821799">
        <w:rPr>
          <w:lang w:val="fr-FR"/>
        </w:rPr>
        <w:t xml:space="preserve"> </w:t>
      </w:r>
      <w:proofErr w:type="gramStart"/>
      <w:r w:rsidRPr="00821799">
        <w:rPr>
          <w:lang w:val="fr-FR"/>
        </w:rPr>
        <w:t xml:space="preserve">de </w:t>
      </w:r>
      <w:proofErr w:type="spellStart"/>
      <w:r w:rsidRPr="00821799">
        <w:rPr>
          <w:lang w:val="fr-FR"/>
        </w:rPr>
        <w:t>asigurare</w:t>
      </w:r>
      <w:proofErr w:type="spellEnd"/>
      <w:proofErr w:type="gram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cu</w:t>
      </w:r>
      <w:proofErr w:type="spellEnd"/>
      <w:r w:rsidRPr="00821799">
        <w:rPr>
          <w:lang w:val="fr-FR"/>
        </w:rPr>
        <w:t xml:space="preserve"> ING </w:t>
      </w:r>
      <w:proofErr w:type="spellStart"/>
      <w:r w:rsidRPr="00821799">
        <w:rPr>
          <w:lang w:val="fr-FR"/>
        </w:rPr>
        <w:t>Nederlanden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clădiri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utilaje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personal</w:t>
      </w:r>
      <w:proofErr w:type="spellEnd"/>
      <w:r w:rsidRPr="00821799">
        <w:rPr>
          <w:lang w:val="fr-FR"/>
        </w:rPr>
        <w:t>.</w:t>
      </w:r>
    </w:p>
    <w:p w:rsidR="00BD61BD" w:rsidRPr="00821799" w:rsidRDefault="00BD61BD" w:rsidP="00BD61BD">
      <w:pPr>
        <w:jc w:val="both"/>
        <w:rPr>
          <w:lang w:val="fr-FR"/>
        </w:rPr>
      </w:pPr>
      <w:proofErr w:type="spellStart"/>
      <w:r w:rsidRPr="00821799">
        <w:rPr>
          <w:lang w:val="fr-FR"/>
        </w:rPr>
        <w:t>Comercializarea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mărfurilor</w:t>
      </w:r>
      <w:proofErr w:type="spellEnd"/>
      <w:r w:rsidRPr="00821799">
        <w:rPr>
          <w:lang w:val="fr-FR"/>
        </w:rPr>
        <w:t xml:space="preserve"> se </w:t>
      </w:r>
      <w:proofErr w:type="spellStart"/>
      <w:r w:rsidRPr="00821799">
        <w:rPr>
          <w:lang w:val="fr-FR"/>
        </w:rPr>
        <w:t>realizează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prin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intermediul</w:t>
      </w:r>
      <w:proofErr w:type="spellEnd"/>
      <w:r w:rsidRPr="00821799">
        <w:rPr>
          <w:lang w:val="fr-FR"/>
        </w:rPr>
        <w:t xml:space="preserve"> a 3 magazine </w:t>
      </w:r>
      <w:proofErr w:type="spellStart"/>
      <w:r w:rsidRPr="00821799">
        <w:rPr>
          <w:lang w:val="fr-FR"/>
        </w:rPr>
        <w:t>proprii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şi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prin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intermediul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supermarketurilor</w:t>
      </w:r>
      <w:proofErr w:type="spellEnd"/>
      <w:r w:rsidRPr="00821799">
        <w:rPr>
          <w:lang w:val="fr-FR"/>
        </w:rPr>
        <w:t xml:space="preserve">  </w:t>
      </w:r>
      <w:proofErr w:type="spellStart"/>
      <w:r w:rsidRPr="00821799">
        <w:rPr>
          <w:lang w:val="fr-FR"/>
        </w:rPr>
        <w:t>Kaufland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şi</w:t>
      </w:r>
      <w:proofErr w:type="spellEnd"/>
      <w:r w:rsidRPr="00821799">
        <w:rPr>
          <w:lang w:val="fr-FR"/>
        </w:rPr>
        <w:t xml:space="preserve"> Lidl.</w:t>
      </w:r>
      <w:r>
        <w:rPr>
          <w:lang w:val="fr-FR"/>
        </w:rPr>
        <w:t xml:space="preserve"> </w:t>
      </w:r>
      <w:proofErr w:type="spellStart"/>
      <w:r w:rsidRPr="00821799">
        <w:rPr>
          <w:lang w:val="fr-FR"/>
        </w:rPr>
        <w:t>Transportul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mărfurilor</w:t>
      </w:r>
      <w:proofErr w:type="spellEnd"/>
      <w:r w:rsidRPr="00821799">
        <w:rPr>
          <w:lang w:val="fr-FR"/>
        </w:rPr>
        <w:t xml:space="preserve"> se </w:t>
      </w:r>
      <w:proofErr w:type="spellStart"/>
      <w:r w:rsidRPr="00821799">
        <w:rPr>
          <w:lang w:val="fr-FR"/>
        </w:rPr>
        <w:t>realizează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cu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maşini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închiriate</w:t>
      </w:r>
      <w:proofErr w:type="spellEnd"/>
      <w:r w:rsidRPr="00821799">
        <w:rPr>
          <w:lang w:val="fr-FR"/>
        </w:rPr>
        <w:t xml:space="preserve"> de la SC </w:t>
      </w:r>
      <w:proofErr w:type="spellStart"/>
      <w:r w:rsidRPr="00821799">
        <w:rPr>
          <w:lang w:val="fr-FR"/>
        </w:rPr>
        <w:t>Transcom</w:t>
      </w:r>
      <w:proofErr w:type="spellEnd"/>
      <w:r w:rsidRPr="00821799">
        <w:rPr>
          <w:lang w:val="fr-FR"/>
        </w:rPr>
        <w:t>.</w:t>
      </w:r>
      <w:r>
        <w:rPr>
          <w:lang w:val="fr-FR"/>
        </w:rPr>
        <w:t xml:space="preserve"> </w:t>
      </w: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participă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anual</w:t>
      </w:r>
      <w:proofErr w:type="spellEnd"/>
      <w:r w:rsidRPr="00821799">
        <w:rPr>
          <w:lang w:val="fr-FR"/>
        </w:rPr>
        <w:t xml:space="preserve"> la </w:t>
      </w:r>
      <w:proofErr w:type="spellStart"/>
      <w:r w:rsidRPr="00821799">
        <w:rPr>
          <w:lang w:val="fr-FR"/>
        </w:rPr>
        <w:t>Târgul</w:t>
      </w:r>
      <w:proofErr w:type="spellEnd"/>
      <w:r w:rsidRPr="00821799">
        <w:rPr>
          <w:lang w:val="fr-FR"/>
        </w:rPr>
        <w:t xml:space="preserve"> de </w:t>
      </w:r>
      <w:proofErr w:type="spellStart"/>
      <w:r w:rsidRPr="00821799">
        <w:rPr>
          <w:lang w:val="fr-FR"/>
        </w:rPr>
        <w:t>bunuri</w:t>
      </w:r>
      <w:proofErr w:type="spellEnd"/>
      <w:r w:rsidRPr="00821799">
        <w:rPr>
          <w:lang w:val="fr-FR"/>
        </w:rPr>
        <w:t xml:space="preserve"> de </w:t>
      </w:r>
      <w:proofErr w:type="spellStart"/>
      <w:r w:rsidRPr="00821799">
        <w:rPr>
          <w:lang w:val="fr-FR"/>
        </w:rPr>
        <w:t>consum</w:t>
      </w:r>
      <w:proofErr w:type="spellEnd"/>
      <w:r w:rsidRPr="00821799">
        <w:rPr>
          <w:lang w:val="fr-FR"/>
        </w:rPr>
        <w:t xml:space="preserve"> TIBCO Bucureşti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și</w:t>
      </w:r>
      <w:proofErr w:type="spellEnd"/>
      <w:r>
        <w:rPr>
          <w:lang w:val="fr-FR"/>
        </w:rPr>
        <w:t xml:space="preserve"> </w:t>
      </w:r>
      <w:proofErr w:type="gramStart"/>
      <w:r>
        <w:rPr>
          <w:lang w:val="fr-FR"/>
        </w:rPr>
        <w:t>la INDAGRA</w:t>
      </w:r>
      <w:proofErr w:type="gramEnd"/>
      <w:r w:rsidRPr="00821799">
        <w:rPr>
          <w:lang w:val="fr-FR"/>
        </w:rPr>
        <w:t>.</w:t>
      </w:r>
      <w:r>
        <w:rPr>
          <w:lang w:val="fr-FR"/>
        </w:rPr>
        <w:t xml:space="preserve"> </w:t>
      </w:r>
      <w:proofErr w:type="spellStart"/>
      <w:r w:rsidRPr="00821799">
        <w:rPr>
          <w:lang w:val="fr-FR"/>
        </w:rPr>
        <w:t>Clienţii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firmei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sunt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persoane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fizice</w:t>
      </w:r>
      <w:proofErr w:type="spellEnd"/>
      <w:r w:rsidRPr="00821799">
        <w:rPr>
          <w:lang w:val="fr-FR"/>
        </w:rPr>
        <w:t xml:space="preserve"> de </w:t>
      </w:r>
      <w:proofErr w:type="spellStart"/>
      <w:r w:rsidRPr="00821799">
        <w:rPr>
          <w:lang w:val="fr-FR"/>
        </w:rPr>
        <w:t>toate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vârstele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din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oraşul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şi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judeţul</w:t>
      </w:r>
      <w:proofErr w:type="spellEnd"/>
      <w:r w:rsidRPr="00821799">
        <w:rPr>
          <w:lang w:val="fr-FR"/>
        </w:rPr>
        <w:t xml:space="preserve"> Buzău. </w:t>
      </w:r>
      <w:proofErr w:type="spellStart"/>
      <w:r w:rsidRPr="00821799">
        <w:rPr>
          <w:lang w:val="fr-FR"/>
        </w:rPr>
        <w:t>În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acelaşi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timp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are </w:t>
      </w:r>
      <w:proofErr w:type="spellStart"/>
      <w:r w:rsidRPr="00821799">
        <w:rPr>
          <w:lang w:val="fr-FR"/>
        </w:rPr>
        <w:t>încheiate</w:t>
      </w:r>
      <w:proofErr w:type="spellEnd"/>
      <w:r w:rsidRPr="00821799">
        <w:rPr>
          <w:lang w:val="fr-FR"/>
        </w:rPr>
        <w:t xml:space="preserve"> contracte </w:t>
      </w:r>
      <w:proofErr w:type="gramStart"/>
      <w:r w:rsidRPr="00821799">
        <w:rPr>
          <w:lang w:val="fr-FR"/>
        </w:rPr>
        <w:t xml:space="preserve">de </w:t>
      </w:r>
      <w:proofErr w:type="spellStart"/>
      <w:r w:rsidRPr="00821799">
        <w:rPr>
          <w:lang w:val="fr-FR"/>
        </w:rPr>
        <w:t>aprovizionare</w:t>
      </w:r>
      <w:proofErr w:type="spellEnd"/>
      <w:proofErr w:type="gram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cu</w:t>
      </w:r>
      <w:proofErr w:type="spellEnd"/>
      <w:r w:rsidRPr="00821799">
        <w:rPr>
          <w:lang w:val="fr-FR"/>
        </w:rPr>
        <w:t xml:space="preserve"> 3 </w:t>
      </w:r>
      <w:proofErr w:type="spellStart"/>
      <w:r w:rsidRPr="00821799">
        <w:rPr>
          <w:lang w:val="fr-FR"/>
        </w:rPr>
        <w:t>grădiniţe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şi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cu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Spitalul</w:t>
      </w:r>
      <w:proofErr w:type="spellEnd"/>
      <w:r w:rsidRPr="00821799">
        <w:rPr>
          <w:lang w:val="fr-FR"/>
        </w:rPr>
        <w:t xml:space="preserve"> Municipal</w:t>
      </w:r>
      <w:r>
        <w:rPr>
          <w:lang w:val="fr-FR"/>
        </w:rPr>
        <w:t xml:space="preserve"> Buzău</w:t>
      </w:r>
      <w:r w:rsidRPr="00821799">
        <w:rPr>
          <w:lang w:val="fr-FR"/>
        </w:rPr>
        <w:t xml:space="preserve">. </w:t>
      </w:r>
      <w:proofErr w:type="spellStart"/>
      <w:r w:rsidRPr="00821799">
        <w:rPr>
          <w:lang w:val="fr-FR"/>
        </w:rPr>
        <w:t>Datorită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faptului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că</w:t>
      </w:r>
      <w:proofErr w:type="spellEnd"/>
      <w:r w:rsidRPr="00821799">
        <w:rPr>
          <w:lang w:val="fr-FR"/>
        </w:rPr>
        <w:t xml:space="preserve"> este </w:t>
      </w:r>
      <w:proofErr w:type="spellStart"/>
      <w:r w:rsidRPr="00821799">
        <w:rPr>
          <w:lang w:val="fr-FR"/>
        </w:rPr>
        <w:t>unul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din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puţinii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producători</w:t>
      </w:r>
      <w:proofErr w:type="spellEnd"/>
      <w:r w:rsidRPr="00821799">
        <w:rPr>
          <w:lang w:val="fr-FR"/>
        </w:rPr>
        <w:t xml:space="preserve"> ai </w:t>
      </w:r>
      <w:proofErr w:type="spellStart"/>
      <w:r w:rsidRPr="00821799">
        <w:rPr>
          <w:lang w:val="fr-FR"/>
        </w:rPr>
        <w:t>cârnaţilor</w:t>
      </w:r>
      <w:proofErr w:type="spellEnd"/>
      <w:r w:rsidRPr="00821799">
        <w:rPr>
          <w:lang w:val="fr-FR"/>
        </w:rPr>
        <w:t xml:space="preserve"> de </w:t>
      </w:r>
      <w:proofErr w:type="spellStart"/>
      <w:r w:rsidRPr="00821799">
        <w:rPr>
          <w:lang w:val="fr-FR"/>
        </w:rPr>
        <w:t>Pleşcoi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are </w:t>
      </w:r>
      <w:proofErr w:type="spellStart"/>
      <w:r w:rsidRPr="00821799">
        <w:rPr>
          <w:lang w:val="fr-FR"/>
        </w:rPr>
        <w:t>apariţii</w:t>
      </w:r>
      <w:proofErr w:type="spellEnd"/>
      <w:r w:rsidRPr="00821799">
        <w:rPr>
          <w:lang w:val="fr-FR"/>
        </w:rPr>
        <w:t xml:space="preserve"> constante </w:t>
      </w:r>
      <w:proofErr w:type="spellStart"/>
      <w:r w:rsidRPr="00821799">
        <w:rPr>
          <w:lang w:val="fr-FR"/>
        </w:rPr>
        <w:t>în</w:t>
      </w:r>
      <w:proofErr w:type="spellEnd"/>
      <w:r w:rsidRPr="00821799">
        <w:rPr>
          <w:lang w:val="fr-FR"/>
        </w:rPr>
        <w:t xml:space="preserve"> media </w:t>
      </w:r>
      <w:proofErr w:type="spellStart"/>
      <w:r w:rsidRPr="00821799">
        <w:rPr>
          <w:lang w:val="fr-FR"/>
        </w:rPr>
        <w:t>buzoiană</w:t>
      </w:r>
      <w:proofErr w:type="spellEnd"/>
      <w:r w:rsidRPr="00821799">
        <w:rPr>
          <w:lang w:val="fr-FR"/>
        </w:rPr>
        <w:t xml:space="preserve"> : </w:t>
      </w:r>
      <w:proofErr w:type="spellStart"/>
      <w:r w:rsidRPr="00821799">
        <w:rPr>
          <w:lang w:val="fr-FR"/>
        </w:rPr>
        <w:t>Opinia</w:t>
      </w:r>
      <w:proofErr w:type="spellEnd"/>
      <w:r w:rsidRPr="00821799">
        <w:rPr>
          <w:lang w:val="fr-FR"/>
        </w:rPr>
        <w:t xml:space="preserve">, </w:t>
      </w:r>
      <w:proofErr w:type="spellStart"/>
      <w:r w:rsidRPr="00821799">
        <w:rPr>
          <w:lang w:val="fr-FR"/>
        </w:rPr>
        <w:t>Şansa</w:t>
      </w:r>
      <w:proofErr w:type="spellEnd"/>
      <w:r w:rsidRPr="00821799">
        <w:rPr>
          <w:lang w:val="fr-FR"/>
        </w:rPr>
        <w:t xml:space="preserve">, Campus, Focus TV, </w:t>
      </w:r>
      <w:proofErr w:type="spellStart"/>
      <w:r w:rsidRPr="00821799">
        <w:rPr>
          <w:lang w:val="fr-FR"/>
        </w:rPr>
        <w:t>Strada</w:t>
      </w:r>
      <w:proofErr w:type="spellEnd"/>
      <w:r w:rsidRPr="00821799">
        <w:rPr>
          <w:lang w:val="fr-FR"/>
        </w:rPr>
        <w:t>.</w:t>
      </w:r>
      <w:r>
        <w:rPr>
          <w:lang w:val="fr-FR"/>
        </w:rPr>
        <w:t xml:space="preserve"> </w:t>
      </w:r>
      <w:proofErr w:type="spellStart"/>
      <w:r w:rsidRPr="00821799">
        <w:rPr>
          <w:lang w:val="fr-FR"/>
        </w:rPr>
        <w:t>Firma</w:t>
      </w:r>
      <w:proofErr w:type="spellEnd"/>
      <w:r w:rsidRPr="00821799">
        <w:rPr>
          <w:lang w:val="fr-FR"/>
        </w:rPr>
        <w:t xml:space="preserve"> a </w:t>
      </w:r>
      <w:proofErr w:type="spellStart"/>
      <w:r w:rsidRPr="00821799">
        <w:rPr>
          <w:lang w:val="fr-FR"/>
        </w:rPr>
        <w:t>încheiat</w:t>
      </w:r>
      <w:proofErr w:type="spellEnd"/>
      <w:r w:rsidRPr="00821799">
        <w:rPr>
          <w:lang w:val="fr-FR"/>
        </w:rPr>
        <w:t xml:space="preserve"> un </w:t>
      </w:r>
      <w:proofErr w:type="spellStart"/>
      <w:r w:rsidRPr="00821799">
        <w:rPr>
          <w:lang w:val="fr-FR"/>
        </w:rPr>
        <w:t>contarct</w:t>
      </w:r>
      <w:proofErr w:type="spellEnd"/>
      <w:r w:rsidRPr="00821799">
        <w:rPr>
          <w:lang w:val="fr-FR"/>
        </w:rPr>
        <w:t xml:space="preserve"> de </w:t>
      </w:r>
      <w:proofErr w:type="spellStart"/>
      <w:r w:rsidRPr="00821799">
        <w:rPr>
          <w:lang w:val="fr-FR"/>
        </w:rPr>
        <w:t>publicitate</w:t>
      </w:r>
      <w:proofErr w:type="spellEnd"/>
      <w:r w:rsidRPr="00821799">
        <w:rPr>
          <w:lang w:val="fr-FR"/>
        </w:rPr>
        <w:t xml:space="preserve"> </w:t>
      </w:r>
      <w:proofErr w:type="spellStart"/>
      <w:r w:rsidRPr="00821799">
        <w:rPr>
          <w:lang w:val="fr-FR"/>
        </w:rPr>
        <w:t>cu</w:t>
      </w:r>
      <w:proofErr w:type="spellEnd"/>
      <w:r w:rsidRPr="00821799">
        <w:rPr>
          <w:lang w:val="fr-FR"/>
        </w:rPr>
        <w:t xml:space="preserve"> BD </w:t>
      </w:r>
      <w:proofErr w:type="spellStart"/>
      <w:r w:rsidRPr="00821799">
        <w:rPr>
          <w:lang w:val="fr-FR"/>
        </w:rPr>
        <w:t>Advertising</w:t>
      </w:r>
      <w:proofErr w:type="spellEnd"/>
      <w:r w:rsidRPr="00821799">
        <w:rPr>
          <w:lang w:val="fr-FR"/>
        </w:rPr>
        <w:t>.</w:t>
      </w:r>
    </w:p>
    <w:p w:rsidR="00BD61BD" w:rsidRPr="00821799" w:rsidRDefault="00BD61BD" w:rsidP="00BD61BD">
      <w:r w:rsidRPr="00821799">
        <w:rPr>
          <w:b/>
          <w:color w:val="000000"/>
          <w:lang w:val="ro-RO"/>
        </w:rPr>
        <w:t>Sarcini de lucru:</w:t>
      </w:r>
      <w:proofErr w:type="spellStart"/>
      <w:r w:rsidRPr="00821799">
        <w:t>Identifică</w:t>
      </w:r>
      <w:proofErr w:type="spellEnd"/>
      <w:r w:rsidRPr="00821799">
        <w:t xml:space="preserve"> </w:t>
      </w:r>
      <w:proofErr w:type="spellStart"/>
      <w:r w:rsidRPr="00821799">
        <w:t>elementele</w:t>
      </w:r>
      <w:proofErr w:type="spellEnd"/>
      <w:r w:rsidRPr="00821799">
        <w:t xml:space="preserve"> </w:t>
      </w:r>
      <w:proofErr w:type="spellStart"/>
      <w:r w:rsidRPr="00821799">
        <w:t>componente</w:t>
      </w:r>
      <w:proofErr w:type="spellEnd"/>
      <w:r w:rsidRPr="00821799">
        <w:t xml:space="preserve"> ale </w:t>
      </w:r>
      <w:proofErr w:type="spellStart"/>
      <w:r w:rsidRPr="00821799">
        <w:t>micromediului</w:t>
      </w:r>
      <w:proofErr w:type="spellEnd"/>
      <w:r w:rsidRPr="00821799">
        <w:t xml:space="preserve"> </w:t>
      </w:r>
      <w:proofErr w:type="spellStart"/>
      <w:r w:rsidRPr="00821799">
        <w:t>firmei</w:t>
      </w:r>
      <w:proofErr w:type="spellEnd"/>
      <w:r w:rsidRPr="00821799">
        <w:t>.</w:t>
      </w:r>
    </w:p>
    <w:p w:rsidR="00BD61BD" w:rsidRPr="00BD61BD" w:rsidRDefault="00BD61BD" w:rsidP="00BD61BD">
      <w:pPr>
        <w:jc w:val="center"/>
        <w:rPr>
          <w:b/>
          <w:lang w:val="ro-RO"/>
        </w:rPr>
      </w:pPr>
      <w:r w:rsidRPr="00BD61BD">
        <w:rPr>
          <w:b/>
          <w:lang w:val="ro-RO"/>
        </w:rPr>
        <w:lastRenderedPageBreak/>
        <w:t>GRILA DE EVALUARE</w:t>
      </w:r>
      <w:bookmarkStart w:id="0" w:name="_GoBack"/>
      <w:bookmarkEnd w:id="0"/>
    </w:p>
    <w:p w:rsidR="00BD61BD" w:rsidRDefault="00BD61BD" w:rsidP="00BD61BD">
      <w:pPr>
        <w:jc w:val="both"/>
        <w:rPr>
          <w:b/>
          <w:lang w:val="ro-RO"/>
        </w:rPr>
      </w:pPr>
    </w:p>
    <w:p w:rsidR="00BD61BD" w:rsidRPr="00B5707E" w:rsidRDefault="00BD61BD" w:rsidP="00BD61BD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BD61BD" w:rsidRPr="00B5707E" w:rsidTr="00571B8A">
        <w:tc>
          <w:tcPr>
            <w:tcW w:w="633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max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acordat</w:t>
            </w:r>
          </w:p>
        </w:tc>
      </w:tr>
      <w:tr w:rsidR="00BD61BD" w:rsidRPr="00B5707E" w:rsidTr="00571B8A">
        <w:tc>
          <w:tcPr>
            <w:tcW w:w="633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BD61BD" w:rsidRPr="00B5707E" w:rsidRDefault="00BD61BD" w:rsidP="00571B8A">
            <w:pPr>
              <w:rPr>
                <w:lang w:val="ro-RO"/>
              </w:rPr>
            </w:pPr>
            <w:r w:rsidRPr="00B5707E">
              <w:rPr>
                <w:lang w:val="ro-RO"/>
              </w:rPr>
              <w:t>Selectarea informaţiilor necesare pentru</w:t>
            </w:r>
            <w:r>
              <w:rPr>
                <w:lang w:val="ro-RO"/>
              </w:rPr>
              <w:t xml:space="preserve"> </w:t>
            </w:r>
            <w:r w:rsidRPr="00EE330D">
              <w:rPr>
                <w:lang w:val="ro-RO"/>
              </w:rPr>
              <w:t xml:space="preserve">elementele componente ale </w:t>
            </w:r>
            <w:r>
              <w:rPr>
                <w:lang w:val="ro-RO"/>
              </w:rPr>
              <w:t>micromediului firmei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60%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18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rPr>
          <w:trHeight w:val="561"/>
        </w:trPr>
        <w:tc>
          <w:tcPr>
            <w:tcW w:w="633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Alegerea instrumentelor de lucru: foi de flipchart, marker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c>
          <w:tcPr>
            <w:tcW w:w="633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rPr>
          <w:trHeight w:val="413"/>
        </w:trPr>
        <w:tc>
          <w:tcPr>
            <w:tcW w:w="633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Identificarea </w:t>
            </w:r>
            <w:r w:rsidRPr="00B5707E">
              <w:rPr>
                <w:lang w:val="ro-RO"/>
              </w:rPr>
              <w:t xml:space="preserve"> </w:t>
            </w:r>
            <w:r w:rsidRPr="00EE330D">
              <w:rPr>
                <w:lang w:val="ro-RO"/>
              </w:rPr>
              <w:t xml:space="preserve">elementele componente ale </w:t>
            </w:r>
            <w:r>
              <w:rPr>
                <w:lang w:val="ro-RO"/>
              </w:rPr>
              <w:t>micromediului firmei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50%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rPr>
          <w:trHeight w:val="413"/>
        </w:trPr>
        <w:tc>
          <w:tcPr>
            <w:tcW w:w="633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c>
          <w:tcPr>
            <w:tcW w:w="633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c>
          <w:tcPr>
            <w:tcW w:w="633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c>
          <w:tcPr>
            <w:tcW w:w="633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Argumentarea </w:t>
            </w:r>
            <w:r>
              <w:rPr>
                <w:lang w:val="ro-RO"/>
              </w:rPr>
              <w:t>alegerii facute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  <w:tr w:rsidR="00BD61BD" w:rsidRPr="00B5707E" w:rsidTr="00571B8A">
        <w:trPr>
          <w:trHeight w:val="380"/>
        </w:trPr>
        <w:tc>
          <w:tcPr>
            <w:tcW w:w="633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BD61BD" w:rsidRPr="00B5707E" w:rsidRDefault="00BD61BD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analizei făcute corect</w:t>
            </w:r>
          </w:p>
        </w:tc>
        <w:tc>
          <w:tcPr>
            <w:tcW w:w="702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BD61BD" w:rsidRPr="00B5707E" w:rsidRDefault="00BD61BD" w:rsidP="00571B8A">
            <w:pPr>
              <w:jc w:val="center"/>
              <w:rPr>
                <w:lang w:val="ro-RO"/>
              </w:rPr>
            </w:pPr>
          </w:p>
        </w:tc>
      </w:tr>
    </w:tbl>
    <w:p w:rsidR="00BD61BD" w:rsidRPr="00BD61BD" w:rsidRDefault="00BD61BD" w:rsidP="00BD61BD">
      <w:pPr>
        <w:jc w:val="center"/>
        <w:rPr>
          <w:b/>
          <w:lang w:val="ro-RO"/>
        </w:rPr>
      </w:pPr>
    </w:p>
    <w:sectPr w:rsidR="00BD61BD" w:rsidRPr="00BD61BD" w:rsidSect="00BD61BD">
      <w:pgSz w:w="11906" w:h="16838"/>
      <w:pgMar w:top="964" w:right="964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F3D5C"/>
    <w:multiLevelType w:val="hybridMultilevel"/>
    <w:tmpl w:val="6B2283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7353F"/>
    <w:multiLevelType w:val="hybridMultilevel"/>
    <w:tmpl w:val="6B18D4C6"/>
    <w:lvl w:ilvl="0" w:tplc="D33E71D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57"/>
    <w:rsid w:val="00026E2A"/>
    <w:rsid w:val="004B31B4"/>
    <w:rsid w:val="005D3702"/>
    <w:rsid w:val="00B02B63"/>
    <w:rsid w:val="00BD61BD"/>
    <w:rsid w:val="00C51576"/>
    <w:rsid w:val="00CD77A9"/>
    <w:rsid w:val="00E2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E52D39-3B12-4A05-8E2D-ED665373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har,Caracter Char,Caracter Caracter Char,Caracter Caracter Char Caracter Caracter Char,Caracter Caracter Char Caracter  Char, Caracter Caracter Char Caracter Caracter, Caracter Caracter Char Caracter ,Caracter"/>
    <w:basedOn w:val="Normal"/>
    <w:link w:val="PlainTextChar"/>
    <w:rsid w:val="004B31B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 Char1,Caracter Char Char1,Caracter Caracter Char Char2,Caracter Caracter Char Caracter Caracter Char Char1,Caracter Caracter Char Caracter  Char Char1, Caracter Caracter Char Caracter Caracter Char"/>
    <w:basedOn w:val="DefaultParagraphFont"/>
    <w:link w:val="PlainText"/>
    <w:rsid w:val="004B31B4"/>
    <w:rPr>
      <w:rFonts w:ascii="Courier New" w:eastAsia="Times New Roman" w:hAnsi="Courier New" w:cs="Courier New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4B3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unhideWhenUsed/>
    <w:rsid w:val="00026E2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61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dcterms:created xsi:type="dcterms:W3CDTF">2022-08-25T12:06:00Z</dcterms:created>
  <dcterms:modified xsi:type="dcterms:W3CDTF">2022-08-25T12:09:00Z</dcterms:modified>
</cp:coreProperties>
</file>