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79E53" w14:textId="3A5A0D09" w:rsidR="00F47097" w:rsidRPr="00362552" w:rsidRDefault="00F47097" w:rsidP="0036255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758EA9A7" w14:textId="77777777" w:rsidR="00F47097" w:rsidRPr="00362552" w:rsidRDefault="00F47097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3E7ADB3" w14:textId="53A17EEA" w:rsidR="00933D08" w:rsidRPr="00362552" w:rsidRDefault="001767E0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25344" w:rsidRPr="00362552" w14:paraId="67D82254" w14:textId="77777777" w:rsidTr="004C79DB">
        <w:tc>
          <w:tcPr>
            <w:tcW w:w="2679" w:type="dxa"/>
            <w:shd w:val="clear" w:color="auto" w:fill="auto"/>
          </w:tcPr>
          <w:p w14:paraId="29B0A803" w14:textId="77777777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3625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792A53A7" w14:textId="77777777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362552" w14:paraId="7667839E" w14:textId="77777777" w:rsidTr="004C79DB">
        <w:tc>
          <w:tcPr>
            <w:tcW w:w="2679" w:type="dxa"/>
            <w:shd w:val="clear" w:color="auto" w:fill="auto"/>
          </w:tcPr>
          <w:p w14:paraId="69A9E9AC" w14:textId="77777777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367660AC" w14:textId="17DB8DA0" w:rsidR="00025344" w:rsidRPr="00362552" w:rsidRDefault="00025344" w:rsidP="00362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362552" w14:paraId="3C001DF6" w14:textId="77777777" w:rsidTr="004C79DB">
        <w:tc>
          <w:tcPr>
            <w:tcW w:w="2679" w:type="dxa"/>
            <w:shd w:val="clear" w:color="auto" w:fill="auto"/>
          </w:tcPr>
          <w:p w14:paraId="7C313C21" w14:textId="77777777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07DCC862" w14:textId="142DA9DD" w:rsidR="00025344" w:rsidRPr="00362552" w:rsidRDefault="001B6B42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MĂSURĂRI TEHNICE</w:t>
            </w:r>
          </w:p>
        </w:tc>
      </w:tr>
      <w:tr w:rsidR="00025344" w:rsidRPr="00362552" w14:paraId="5B700629" w14:textId="77777777" w:rsidTr="004C79DB">
        <w:tc>
          <w:tcPr>
            <w:tcW w:w="2679" w:type="dxa"/>
            <w:shd w:val="clear" w:color="auto" w:fill="auto"/>
          </w:tcPr>
          <w:p w14:paraId="6B8A2F58" w14:textId="77777777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2F474007" w14:textId="36DA4213" w:rsidR="00025344" w:rsidRPr="00362552" w:rsidRDefault="00025344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 a</w:t>
            </w:r>
          </w:p>
        </w:tc>
      </w:tr>
      <w:bookmarkEnd w:id="0"/>
    </w:tbl>
    <w:p w14:paraId="077EE1FF" w14:textId="7D5DAA30" w:rsidR="00025344" w:rsidRPr="00362552" w:rsidRDefault="00025344" w:rsidP="0036255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5700D5" w14:textId="1807BE3D" w:rsidR="001767E0" w:rsidRPr="00362552" w:rsidRDefault="001767E0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7C19F78F" w14:textId="77777777" w:rsidR="00EE0735" w:rsidRPr="00362552" w:rsidRDefault="00EE0735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C9A8100" w14:textId="77777777" w:rsidR="001F50A4" w:rsidRPr="00362552" w:rsidRDefault="001F50A4" w:rsidP="0036255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379CF878" w14:textId="77777777" w:rsidR="001B6B42" w:rsidRPr="00362552" w:rsidRDefault="001B6B42" w:rsidP="0036255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62552">
        <w:rPr>
          <w:rFonts w:asciiTheme="minorHAnsi" w:hAnsiTheme="minorHAnsi" w:cstheme="minorHAnsi"/>
        </w:rPr>
        <w:t>4.1.2. Mijloace de măsurare şi control utilizate pentru realizarea pieselor conform documentaţiei tehnice (principii de funcţionare şi caracteristici tehnice):</w:t>
      </w:r>
    </w:p>
    <w:p w14:paraId="029E0488" w14:textId="1AE9FE3C" w:rsidR="001F50A4" w:rsidRPr="00362552" w:rsidRDefault="001B6B42" w:rsidP="0036255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62552">
        <w:rPr>
          <w:rFonts w:asciiTheme="minorHAnsi" w:hAnsiTheme="minorHAnsi" w:cstheme="minorHAnsi"/>
        </w:rPr>
        <w:t xml:space="preserve"> - Mijloace de măsurare şi control pentru lungimi</w:t>
      </w:r>
      <w:r w:rsidR="00EE0735" w:rsidRPr="00362552">
        <w:rPr>
          <w:rFonts w:asciiTheme="minorHAnsi" w:hAnsiTheme="minorHAnsi" w:cstheme="minorHAnsi"/>
        </w:rPr>
        <w:t>.</w:t>
      </w:r>
    </w:p>
    <w:p w14:paraId="1F42819E" w14:textId="77777777" w:rsidR="001B6B42" w:rsidRPr="00362552" w:rsidRDefault="001B6B42" w:rsidP="00362552">
      <w:pPr>
        <w:pStyle w:val="Default"/>
        <w:ind w:left="709"/>
        <w:jc w:val="both"/>
        <w:rPr>
          <w:rFonts w:asciiTheme="minorHAnsi" w:hAnsiTheme="minorHAnsi" w:cstheme="minorHAnsi"/>
        </w:rPr>
      </w:pPr>
    </w:p>
    <w:p w14:paraId="032095A0" w14:textId="77777777" w:rsidR="001F50A4" w:rsidRPr="00362552" w:rsidRDefault="001F50A4" w:rsidP="0036255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6F2604CB" w14:textId="4812F912" w:rsidR="001F50A4" w:rsidRPr="00362552" w:rsidRDefault="001B6B42" w:rsidP="00362552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362552">
        <w:rPr>
          <w:rFonts w:asciiTheme="minorHAnsi" w:hAnsiTheme="minorHAnsi" w:cstheme="minorHAnsi"/>
        </w:rPr>
        <w:t>4.2.7. Utilizarea mijloacelor de măsurare şi control pentru lungimi</w:t>
      </w:r>
      <w:r w:rsidR="00EE0735" w:rsidRPr="00362552">
        <w:rPr>
          <w:rFonts w:asciiTheme="minorHAnsi" w:hAnsiTheme="minorHAnsi" w:cstheme="minorHAnsi"/>
        </w:rPr>
        <w:t>.</w:t>
      </w:r>
    </w:p>
    <w:p w14:paraId="1E07A2E8" w14:textId="77777777" w:rsidR="001B6B42" w:rsidRPr="00362552" w:rsidRDefault="001B6B42" w:rsidP="00362552">
      <w:pPr>
        <w:pStyle w:val="Default"/>
        <w:ind w:left="708"/>
        <w:jc w:val="both"/>
        <w:rPr>
          <w:rFonts w:asciiTheme="minorHAnsi" w:hAnsiTheme="minorHAnsi" w:cstheme="minorHAnsi"/>
        </w:rPr>
      </w:pPr>
    </w:p>
    <w:p w14:paraId="2092C5BF" w14:textId="77777777" w:rsidR="001F50A4" w:rsidRPr="00362552" w:rsidRDefault="001F50A4" w:rsidP="0036255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179F8451" w14:textId="3DDEFCE0" w:rsidR="001767E0" w:rsidRPr="00362552" w:rsidRDefault="001B6B42" w:rsidP="00362552">
      <w:pPr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>4.3.6. Respectarea normelor de securitate la locul de muncă, precum și normelor de prevenire și stingere a incendiilor</w:t>
      </w:r>
      <w:r w:rsidR="00EE0735" w:rsidRPr="00362552">
        <w:rPr>
          <w:rFonts w:asciiTheme="minorHAnsi" w:hAnsiTheme="minorHAnsi" w:cstheme="minorHAnsi"/>
          <w:sz w:val="24"/>
          <w:szCs w:val="24"/>
        </w:rPr>
        <w:t>.</w:t>
      </w:r>
    </w:p>
    <w:p w14:paraId="2E97FE69" w14:textId="77777777" w:rsidR="00EE0735" w:rsidRPr="00362552" w:rsidRDefault="00EE0735" w:rsidP="00362552">
      <w:pPr>
        <w:spacing w:after="0" w:line="240" w:lineRule="auto"/>
        <w:ind w:left="708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6AA012F6" w14:textId="033195A2" w:rsidR="001767E0" w:rsidRPr="00362552" w:rsidRDefault="001767E0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06C6BE2A" w14:textId="5240E1FA" w:rsidR="00167155" w:rsidRPr="00362552" w:rsidRDefault="00167155" w:rsidP="003625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Organizarea ergonomică a  locu</w:t>
      </w:r>
      <w:r w:rsidR="00EE0735"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l</w:t>
      </w: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ui de muncă</w:t>
      </w:r>
      <w:r w:rsidR="006F4FB2"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14:paraId="1179FCCB" w14:textId="77777777" w:rsidR="00167155" w:rsidRPr="00362552" w:rsidRDefault="00167155" w:rsidP="003625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Interpretarea corectă a documentaţeii tehnice;</w:t>
      </w:r>
    </w:p>
    <w:p w14:paraId="0FE3BFAE" w14:textId="12A0564A" w:rsidR="00167155" w:rsidRPr="00362552" w:rsidRDefault="00167155" w:rsidP="003625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Selectarea corectă a  instrumentelor de măsură</w:t>
      </w:r>
      <w:r w:rsidR="006F4FB2"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2F3D3813" w14:textId="2CE7D791" w:rsidR="00167155" w:rsidRPr="00362552" w:rsidRDefault="00167155" w:rsidP="003625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62552">
        <w:rPr>
          <w:rFonts w:asciiTheme="minorHAnsi" w:hAnsiTheme="minorHAnsi" w:cstheme="minorHAnsi"/>
          <w:color w:val="000000" w:themeColor="text1"/>
          <w:sz w:val="24"/>
          <w:szCs w:val="24"/>
        </w:rPr>
        <w:t>Utilizarea și citirea corectă a instrumentelor de măsurare;</w:t>
      </w:r>
    </w:p>
    <w:p w14:paraId="31AC9B18" w14:textId="0B3B1B25" w:rsidR="00F47097" w:rsidRPr="00362552" w:rsidRDefault="006F4FB2" w:rsidP="0036255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>Respectarea normelor de securitate la locul de muncă, precum și normelor de prevenire și stingere a incendiilor</w:t>
      </w:r>
      <w:r w:rsidR="00BE1E1E" w:rsidRPr="00362552">
        <w:rPr>
          <w:rFonts w:asciiTheme="minorHAnsi" w:hAnsiTheme="minorHAnsi" w:cstheme="minorHAnsi"/>
          <w:sz w:val="24"/>
          <w:szCs w:val="24"/>
        </w:rPr>
        <w:t>.</w:t>
      </w:r>
    </w:p>
    <w:p w14:paraId="758D0705" w14:textId="77777777" w:rsidR="00EE0735" w:rsidRPr="00362552" w:rsidRDefault="00EE0735" w:rsidP="00362552">
      <w:pPr>
        <w:pStyle w:val="ListParagraph"/>
        <w:spacing w:after="0" w:line="240" w:lineRule="auto"/>
        <w:ind w:left="1428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3A4B921" w14:textId="3E534DF1" w:rsidR="001767E0" w:rsidRPr="00362552" w:rsidRDefault="001767E0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Cerințe</w:t>
      </w:r>
    </w:p>
    <w:p w14:paraId="1CE1EB99" w14:textId="77777777" w:rsidR="00EE0735" w:rsidRPr="00362552" w:rsidRDefault="00EE0735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7755726" w14:textId="2152DE94" w:rsidR="00A24F91" w:rsidRPr="00362552" w:rsidRDefault="00C668D6" w:rsidP="00362552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sz w:val="24"/>
          <w:szCs w:val="24"/>
        </w:rPr>
        <w:t xml:space="preserve">Să se înscrie </w:t>
      </w:r>
      <w:r w:rsidR="00167155" w:rsidRPr="00362552">
        <w:rPr>
          <w:rFonts w:asciiTheme="minorHAnsi" w:hAnsiTheme="minorHAnsi" w:cstheme="minorHAnsi"/>
          <w:b/>
          <w:bCs/>
          <w:sz w:val="24"/>
          <w:szCs w:val="24"/>
        </w:rPr>
        <w:t xml:space="preserve">în tabel </w:t>
      </w:r>
      <w:r w:rsidRPr="00362552">
        <w:rPr>
          <w:rFonts w:asciiTheme="minorHAnsi" w:hAnsiTheme="minorHAnsi" w:cstheme="minorHAnsi"/>
          <w:b/>
          <w:bCs/>
          <w:sz w:val="24"/>
          <w:szCs w:val="24"/>
        </w:rPr>
        <w:t>cotele determinate prin măsurarea piesei aflate pe masa de lucru și reprezentată în secțiune</w:t>
      </w:r>
      <w:r w:rsidR="00167155" w:rsidRPr="00362552">
        <w:rPr>
          <w:rFonts w:asciiTheme="minorHAnsi" w:hAnsiTheme="minorHAnsi" w:cstheme="minorHAnsi"/>
          <w:b/>
          <w:bCs/>
          <w:sz w:val="24"/>
          <w:szCs w:val="24"/>
        </w:rPr>
        <w:t>a de</w:t>
      </w:r>
      <w:r w:rsidRPr="00362552">
        <w:rPr>
          <w:rFonts w:asciiTheme="minorHAnsi" w:hAnsiTheme="minorHAnsi" w:cstheme="minorHAnsi"/>
          <w:b/>
          <w:bCs/>
          <w:sz w:val="24"/>
          <w:szCs w:val="24"/>
        </w:rPr>
        <w:t xml:space="preserve"> mai jos</w:t>
      </w:r>
      <w:r w:rsidR="00167155" w:rsidRPr="00362552">
        <w:rPr>
          <w:rFonts w:asciiTheme="minorHAnsi" w:hAnsiTheme="minorHAnsi" w:cstheme="minorHAnsi"/>
          <w:b/>
          <w:bCs/>
          <w:sz w:val="24"/>
          <w:szCs w:val="24"/>
        </w:rPr>
        <w:t xml:space="preserve">. Se va  </w:t>
      </w:r>
      <w:r w:rsidRPr="00362552">
        <w:rPr>
          <w:rFonts w:asciiTheme="minorHAnsi" w:hAnsiTheme="minorHAnsi" w:cstheme="minorHAnsi"/>
          <w:b/>
          <w:bCs/>
          <w:sz w:val="24"/>
          <w:szCs w:val="24"/>
        </w:rPr>
        <w:t>respect</w:t>
      </w:r>
      <w:r w:rsidR="00167155" w:rsidRPr="00362552">
        <w:rPr>
          <w:rFonts w:asciiTheme="minorHAnsi" w:hAnsiTheme="minorHAnsi" w:cstheme="minorHAnsi"/>
          <w:b/>
          <w:bCs/>
          <w:sz w:val="24"/>
          <w:szCs w:val="24"/>
        </w:rPr>
        <w:t>a</w:t>
      </w:r>
      <w:r w:rsidRPr="00362552">
        <w:rPr>
          <w:rFonts w:asciiTheme="minorHAnsi" w:hAnsiTheme="minorHAnsi" w:cstheme="minorHAnsi"/>
          <w:b/>
          <w:bCs/>
          <w:sz w:val="24"/>
          <w:szCs w:val="24"/>
        </w:rPr>
        <w:t xml:space="preserve"> corespondența dintre cotele înscrise pe desen și cele determinate prin măsurare.</w:t>
      </w:r>
    </w:p>
    <w:p w14:paraId="3A6BABD8" w14:textId="77777777" w:rsidR="00EE0735" w:rsidRPr="00362552" w:rsidRDefault="00EE0735" w:rsidP="00362552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081B02D" w14:textId="132410C6" w:rsidR="00EE0735" w:rsidRPr="00362552" w:rsidRDefault="00362552" w:rsidP="00362552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62552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69A43074" wp14:editId="06BF8CF5">
            <wp:extent cx="4140485" cy="2765981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084" cy="289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AA411" w14:textId="77777777" w:rsidR="00EE0735" w:rsidRPr="00362552" w:rsidRDefault="00EE0735" w:rsidP="00362552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81C30FB" w14:textId="77777777" w:rsidR="00EE0735" w:rsidRPr="00362552" w:rsidRDefault="00EE0735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Grid"/>
        <w:tblW w:w="9233" w:type="dxa"/>
        <w:tblInd w:w="-5" w:type="dxa"/>
        <w:tblLook w:val="04A0" w:firstRow="1" w:lastRow="0" w:firstColumn="1" w:lastColumn="0" w:noHBand="0" w:noVBand="1"/>
      </w:tblPr>
      <w:tblGrid>
        <w:gridCol w:w="1025"/>
        <w:gridCol w:w="1026"/>
        <w:gridCol w:w="1026"/>
        <w:gridCol w:w="1026"/>
        <w:gridCol w:w="1026"/>
        <w:gridCol w:w="1026"/>
        <w:gridCol w:w="1026"/>
        <w:gridCol w:w="1026"/>
        <w:gridCol w:w="1026"/>
      </w:tblGrid>
      <w:tr w:rsidR="00F47097" w:rsidRPr="00362552" w14:paraId="6C000F25" w14:textId="77777777" w:rsidTr="00362552">
        <w:trPr>
          <w:trHeight w:val="636"/>
        </w:trPr>
        <w:tc>
          <w:tcPr>
            <w:tcW w:w="1025" w:type="dxa"/>
          </w:tcPr>
          <w:p w14:paraId="1E03709B" w14:textId="7C8B7FD3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a</w:t>
            </w:r>
          </w:p>
        </w:tc>
        <w:tc>
          <w:tcPr>
            <w:tcW w:w="1026" w:type="dxa"/>
          </w:tcPr>
          <w:p w14:paraId="05039DA3" w14:textId="0EB3C17C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b</w:t>
            </w:r>
          </w:p>
        </w:tc>
        <w:tc>
          <w:tcPr>
            <w:tcW w:w="1026" w:type="dxa"/>
          </w:tcPr>
          <w:p w14:paraId="76C339F2" w14:textId="21126107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c</w:t>
            </w:r>
          </w:p>
        </w:tc>
        <w:tc>
          <w:tcPr>
            <w:tcW w:w="1026" w:type="dxa"/>
          </w:tcPr>
          <w:p w14:paraId="3A9300E9" w14:textId="59211F1C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d</w:t>
            </w:r>
          </w:p>
        </w:tc>
        <w:tc>
          <w:tcPr>
            <w:tcW w:w="1026" w:type="dxa"/>
          </w:tcPr>
          <w:p w14:paraId="3496B832" w14:textId="0A691B0E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Ø1</w:t>
            </w:r>
          </w:p>
        </w:tc>
        <w:tc>
          <w:tcPr>
            <w:tcW w:w="1026" w:type="dxa"/>
          </w:tcPr>
          <w:p w14:paraId="15252FEE" w14:textId="0D0EABAD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Ø2</w:t>
            </w:r>
          </w:p>
        </w:tc>
        <w:tc>
          <w:tcPr>
            <w:tcW w:w="1026" w:type="dxa"/>
          </w:tcPr>
          <w:p w14:paraId="4EAC882A" w14:textId="5F2013C0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Ø3</w:t>
            </w:r>
          </w:p>
        </w:tc>
        <w:tc>
          <w:tcPr>
            <w:tcW w:w="1026" w:type="dxa"/>
          </w:tcPr>
          <w:p w14:paraId="4BF090C5" w14:textId="36B82AFD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Ø4</w:t>
            </w:r>
          </w:p>
        </w:tc>
        <w:tc>
          <w:tcPr>
            <w:tcW w:w="1026" w:type="dxa"/>
          </w:tcPr>
          <w:p w14:paraId="66EEA36A" w14:textId="465E887F" w:rsidR="00F47097" w:rsidRPr="00362552" w:rsidRDefault="00F47097" w:rsidP="003625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b/>
                <w:bCs/>
                <w:noProof/>
                <w:sz w:val="24"/>
                <w:szCs w:val="24"/>
              </w:rPr>
              <w:t>Ø5</w:t>
            </w:r>
          </w:p>
        </w:tc>
      </w:tr>
      <w:tr w:rsidR="00F47097" w:rsidRPr="00362552" w14:paraId="56E72536" w14:textId="77777777" w:rsidTr="00362552">
        <w:trPr>
          <w:trHeight w:val="601"/>
        </w:trPr>
        <w:tc>
          <w:tcPr>
            <w:tcW w:w="1025" w:type="dxa"/>
          </w:tcPr>
          <w:p w14:paraId="5951DF06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34E5C844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6E409F6F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40315125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3F02E0F7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6C7D4C7A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1DEBE1FA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7D48FED2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1026" w:type="dxa"/>
          </w:tcPr>
          <w:p w14:paraId="7464B7AC" w14:textId="77777777" w:rsidR="00F47097" w:rsidRPr="00362552" w:rsidRDefault="00F47097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noProof/>
                <w:sz w:val="24"/>
                <w:szCs w:val="24"/>
              </w:rPr>
            </w:pPr>
          </w:p>
        </w:tc>
      </w:tr>
    </w:tbl>
    <w:p w14:paraId="41C9839A" w14:textId="02793F22" w:rsidR="00CB75A2" w:rsidRPr="00362552" w:rsidRDefault="00CB75A2" w:rsidP="00362552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0077A5D7" w14:textId="243B17DA" w:rsidR="006F4FB2" w:rsidRDefault="006F4FB2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0A0EC0CB" w14:textId="77777777" w:rsidR="00362552" w:rsidRPr="00362552" w:rsidRDefault="00362552" w:rsidP="00362552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436AD3A1" w14:textId="43DCF1B3" w:rsidR="006F4FB2" w:rsidRPr="00362552" w:rsidRDefault="006F4FB2" w:rsidP="0036255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>Organizarea ergonomică a</w:t>
      </w:r>
      <w:r w:rsidR="00DD0B65" w:rsidRPr="00362552">
        <w:rPr>
          <w:rFonts w:asciiTheme="minorHAnsi" w:hAnsiTheme="minorHAnsi" w:cstheme="minorHAnsi"/>
          <w:sz w:val="24"/>
          <w:szCs w:val="24"/>
        </w:rPr>
        <w:t xml:space="preserve"> </w:t>
      </w:r>
      <w:r w:rsidRPr="00362552">
        <w:rPr>
          <w:rFonts w:asciiTheme="minorHAnsi" w:hAnsiTheme="minorHAnsi" w:cstheme="minorHAnsi"/>
          <w:sz w:val="24"/>
          <w:szCs w:val="24"/>
        </w:rPr>
        <w:t>locului de muncă</w:t>
      </w:r>
    </w:p>
    <w:p w14:paraId="221A6E18" w14:textId="059546CE" w:rsidR="00DD0B65" w:rsidRPr="00362552" w:rsidRDefault="00DD0B65" w:rsidP="0036255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 xml:space="preserve">Identificarea </w:t>
      </w:r>
      <w:r w:rsidR="00BE1E1E" w:rsidRPr="00362552">
        <w:rPr>
          <w:rFonts w:asciiTheme="minorHAnsi" w:hAnsiTheme="minorHAnsi" w:cstheme="minorHAnsi"/>
          <w:sz w:val="24"/>
          <w:szCs w:val="24"/>
        </w:rPr>
        <w:t xml:space="preserve">pe piesă a </w:t>
      </w:r>
      <w:r w:rsidRPr="00362552">
        <w:rPr>
          <w:rFonts w:asciiTheme="minorHAnsi" w:hAnsiTheme="minorHAnsi" w:cstheme="minorHAnsi"/>
          <w:sz w:val="24"/>
          <w:szCs w:val="24"/>
        </w:rPr>
        <w:t>elementelor ce trebuie măsurate;</w:t>
      </w:r>
    </w:p>
    <w:p w14:paraId="30E00772" w14:textId="5F591B96" w:rsidR="006F4FB2" w:rsidRPr="00362552" w:rsidRDefault="006F4FB2" w:rsidP="0036255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>Selectarea instrumentelor de măsură adecvate:</w:t>
      </w:r>
    </w:p>
    <w:p w14:paraId="605F10E0" w14:textId="74787AAA" w:rsidR="006F4FB2" w:rsidRPr="00362552" w:rsidRDefault="00DD0B65" w:rsidP="0036255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 xml:space="preserve">Măsurarea dimensiunilor liniare notate cu </w:t>
      </w:r>
      <w:r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a,</w:t>
      </w:r>
      <w:r w:rsidR="00BE1E1E"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b</w:t>
      </w:r>
      <w:r w:rsidR="00BE1E1E"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,c</w:t>
      </w:r>
      <w:r w:rsidR="00BE1E1E"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362552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,d</w:t>
      </w:r>
      <w:r w:rsidR="00BE1E1E" w:rsidRPr="00362552"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BE1E1E" w:rsidRPr="00362552">
        <w:rPr>
          <w:rFonts w:asciiTheme="minorHAnsi" w:hAnsiTheme="minorHAnsi" w:cstheme="minorHAnsi"/>
          <w:sz w:val="24"/>
          <w:szCs w:val="24"/>
        </w:rPr>
        <w:t>și înscrierea lor în tabel;</w:t>
      </w:r>
    </w:p>
    <w:p w14:paraId="34C7B4EC" w14:textId="4D06B4E2" w:rsidR="00DD0B65" w:rsidRPr="00362552" w:rsidRDefault="00DD0B65" w:rsidP="0036255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362552">
        <w:rPr>
          <w:rFonts w:asciiTheme="minorHAnsi" w:hAnsiTheme="minorHAnsi" w:cstheme="minorHAnsi"/>
          <w:sz w:val="24"/>
          <w:szCs w:val="24"/>
        </w:rPr>
        <w:t xml:space="preserve">Măsurarea diametrelor </w:t>
      </w:r>
      <w:r w:rsidR="00BE1E1E" w:rsidRPr="00362552">
        <w:rPr>
          <w:rFonts w:asciiTheme="minorHAnsi" w:hAnsiTheme="minorHAnsi" w:cstheme="minorHAnsi"/>
          <w:sz w:val="24"/>
          <w:szCs w:val="24"/>
        </w:rPr>
        <w:t xml:space="preserve">notate </w:t>
      </w:r>
      <w:r w:rsidRPr="00362552">
        <w:rPr>
          <w:rFonts w:asciiTheme="minorHAnsi" w:hAnsiTheme="minorHAnsi" w:cstheme="minorHAnsi"/>
          <w:sz w:val="24"/>
          <w:szCs w:val="24"/>
        </w:rPr>
        <w:t xml:space="preserve"> cu </w:t>
      </w:r>
      <w:r w:rsidRPr="00362552">
        <w:rPr>
          <w:rFonts w:asciiTheme="minorHAnsi" w:hAnsiTheme="minorHAnsi" w:cstheme="minorHAnsi"/>
          <w:i/>
          <w:iCs/>
          <w:noProof/>
          <w:sz w:val="24"/>
          <w:szCs w:val="24"/>
        </w:rPr>
        <w:t>Ø1, Ø2, Ø3, Ø4, Ø5</w:t>
      </w:r>
      <w:r w:rsidR="00BE1E1E" w:rsidRPr="00362552">
        <w:rPr>
          <w:rFonts w:asciiTheme="minorHAnsi" w:hAnsiTheme="minorHAnsi" w:cstheme="minorHAnsi"/>
          <w:b/>
          <w:bCs/>
          <w:i/>
          <w:iCs/>
          <w:noProof/>
          <w:sz w:val="24"/>
          <w:szCs w:val="24"/>
        </w:rPr>
        <w:t xml:space="preserve"> </w:t>
      </w:r>
      <w:r w:rsidR="00BE1E1E" w:rsidRPr="00362552">
        <w:rPr>
          <w:rFonts w:asciiTheme="minorHAnsi" w:hAnsiTheme="minorHAnsi" w:cstheme="minorHAnsi"/>
          <w:sz w:val="24"/>
          <w:szCs w:val="24"/>
        </w:rPr>
        <w:t>și înscrierea lor în tabel;</w:t>
      </w:r>
    </w:p>
    <w:p w14:paraId="7C4AB175" w14:textId="77777777" w:rsidR="00362552" w:rsidRPr="00362552" w:rsidRDefault="00362552" w:rsidP="00362552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5BE61186" w14:textId="6827BA1B" w:rsidR="00362552" w:rsidRDefault="00CB75A2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36255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criteriu conform standardului de evaluare)</w:t>
      </w:r>
    </w:p>
    <w:p w14:paraId="571B8E20" w14:textId="77777777" w:rsidR="00362552" w:rsidRPr="00362552" w:rsidRDefault="00362552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14B3447B" w14:textId="77777777" w:rsidR="00EE0735" w:rsidRPr="00362552" w:rsidRDefault="00EE0735" w:rsidP="0036255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BE1E1E" w:rsidRPr="00362552" w14:paraId="2F122CB4" w14:textId="77777777" w:rsidTr="00E2613E">
        <w:tc>
          <w:tcPr>
            <w:tcW w:w="2405" w:type="dxa"/>
            <w:shd w:val="clear" w:color="auto" w:fill="D5DCE4" w:themeFill="text2" w:themeFillTint="33"/>
          </w:tcPr>
          <w:p w14:paraId="073644DD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</w:p>
          <w:p w14:paraId="47FC8CBB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3EAFAF7C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74EC01CF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1D0E5345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 pe</w:t>
            </w:r>
          </w:p>
          <w:p w14:paraId="499D354A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BE1E1E" w:rsidRPr="00362552" w14:paraId="2C2C16BC" w14:textId="77777777" w:rsidTr="00E2613E">
        <w:tc>
          <w:tcPr>
            <w:tcW w:w="2405" w:type="dxa"/>
            <w:vMerge w:val="restart"/>
            <w:vAlign w:val="center"/>
          </w:tcPr>
          <w:p w14:paraId="6749C08B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1. Primirea şi</w:t>
            </w:r>
          </w:p>
          <w:p w14:paraId="136C7575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 sarcinii</w:t>
            </w:r>
          </w:p>
          <w:p w14:paraId="42E2BEA1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0FB7F803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35 puncte</w:t>
            </w:r>
          </w:p>
        </w:tc>
        <w:tc>
          <w:tcPr>
            <w:tcW w:w="4111" w:type="dxa"/>
            <w:vAlign w:val="center"/>
          </w:tcPr>
          <w:p w14:paraId="1FB2568C" w14:textId="5C9DC600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Respectarea planificării sarcinii de lucru conform fişelor de lucru;</w:t>
            </w:r>
          </w:p>
        </w:tc>
        <w:tc>
          <w:tcPr>
            <w:tcW w:w="1366" w:type="dxa"/>
            <w:vAlign w:val="center"/>
          </w:tcPr>
          <w:p w14:paraId="17AEE8F7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BE1E1E" w:rsidRPr="00362552" w14:paraId="49F635C5" w14:textId="77777777" w:rsidTr="00E2613E">
        <w:tc>
          <w:tcPr>
            <w:tcW w:w="2405" w:type="dxa"/>
            <w:vMerge/>
            <w:vAlign w:val="center"/>
          </w:tcPr>
          <w:p w14:paraId="3270FD52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3B2F028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2B3FF4D" w14:textId="0C011F7F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Organizarea locului de muncă pentru executarea operaţiilor de utilizare a mijloacelor de măsurare şi control folosite pentru măsurarea mărimilor </w:t>
            </w:r>
            <w:r w:rsidR="00AE7523" w:rsidRPr="00362552">
              <w:rPr>
                <w:rFonts w:asciiTheme="minorHAnsi" w:hAnsiTheme="minorHAnsi" w:cstheme="minorHAnsi"/>
                <w:sz w:val="24"/>
                <w:szCs w:val="24"/>
              </w:rPr>
              <w:t>indcate.</w:t>
            </w:r>
          </w:p>
        </w:tc>
        <w:tc>
          <w:tcPr>
            <w:tcW w:w="1366" w:type="dxa"/>
            <w:vAlign w:val="center"/>
          </w:tcPr>
          <w:p w14:paraId="7E5625D4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BE1E1E" w:rsidRPr="00362552" w14:paraId="0C688CC8" w14:textId="77777777" w:rsidTr="00E2613E">
        <w:trPr>
          <w:trHeight w:val="440"/>
        </w:trPr>
        <w:tc>
          <w:tcPr>
            <w:tcW w:w="2405" w:type="dxa"/>
            <w:vMerge/>
            <w:vAlign w:val="center"/>
          </w:tcPr>
          <w:p w14:paraId="057994DF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450DB5F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CFC935E" w14:textId="0B0F282F" w:rsidR="00BE1E1E" w:rsidRPr="00362552" w:rsidRDefault="00BE1E1E" w:rsidP="00362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Selectarea mijloacelor de măsurare şi control specifice pentru fiecare din mărimile tehnice măsurate;</w:t>
            </w:r>
          </w:p>
        </w:tc>
        <w:tc>
          <w:tcPr>
            <w:tcW w:w="1366" w:type="dxa"/>
            <w:vAlign w:val="center"/>
          </w:tcPr>
          <w:p w14:paraId="10AE5E69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BE1E1E" w:rsidRPr="00362552" w14:paraId="59FE663E" w14:textId="77777777" w:rsidTr="00E2613E">
        <w:tc>
          <w:tcPr>
            <w:tcW w:w="2405" w:type="dxa"/>
            <w:vMerge w:val="restart"/>
            <w:vAlign w:val="center"/>
          </w:tcPr>
          <w:p w14:paraId="21ED95B2" w14:textId="77777777" w:rsidR="00BE1E1E" w:rsidRPr="00362552" w:rsidRDefault="00BE1E1E" w:rsidP="0036255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 xml:space="preserve">2.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2949A9E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09FC67C8" w14:textId="575C43D5" w:rsidR="00BE1E1E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Utilizarea corectă a mijloacelor de măsurare şi control pentru lungimi. </w:t>
            </w:r>
          </w:p>
        </w:tc>
        <w:tc>
          <w:tcPr>
            <w:tcW w:w="1366" w:type="dxa"/>
            <w:vAlign w:val="center"/>
          </w:tcPr>
          <w:p w14:paraId="332628F7" w14:textId="4612E92A" w:rsidR="00BE1E1E" w:rsidRPr="00362552" w:rsidRDefault="00AE7523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C95CA0"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0</w:t>
            </w:r>
            <w:r w:rsidR="00BE1E1E"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BE1E1E" w:rsidRPr="00362552" w14:paraId="274B8F54" w14:textId="77777777" w:rsidTr="00E2613E">
        <w:tc>
          <w:tcPr>
            <w:tcW w:w="2405" w:type="dxa"/>
            <w:vMerge/>
            <w:vAlign w:val="center"/>
          </w:tcPr>
          <w:p w14:paraId="0FA5428D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1F6CF86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4841948" w14:textId="5FEB07A8" w:rsidR="00BE1E1E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Folosirea corespunzătoare a echipamentului de lucru</w:t>
            </w:r>
            <w:r w:rsidR="00503886"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 -măsurarea corectă a dimensiunilor inscrise în desen cu a, b,c, d</w:t>
            </w:r>
          </w:p>
        </w:tc>
        <w:tc>
          <w:tcPr>
            <w:tcW w:w="1366" w:type="dxa"/>
            <w:vAlign w:val="center"/>
          </w:tcPr>
          <w:p w14:paraId="5ACA8B36" w14:textId="2E543330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C95CA0"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2</w:t>
            </w: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BE1E1E" w:rsidRPr="00362552" w14:paraId="4DE2AAC6" w14:textId="77777777" w:rsidTr="00E2613E">
        <w:tc>
          <w:tcPr>
            <w:tcW w:w="2405" w:type="dxa"/>
            <w:vMerge/>
            <w:vAlign w:val="center"/>
          </w:tcPr>
          <w:p w14:paraId="18C654E5" w14:textId="77777777" w:rsidR="00BE1E1E" w:rsidRPr="00362552" w:rsidRDefault="00BE1E1E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BB3A4B2" w14:textId="77777777" w:rsidR="00BE1E1E" w:rsidRPr="00362552" w:rsidRDefault="00BE1E1E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5C1E96E" w14:textId="6A436346" w:rsidR="00BE1E1E" w:rsidRPr="00362552" w:rsidRDefault="00503886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Folosirea corespunzătoare a echipamentului de lucru -măsurarea corectă a dimensiunilor inscrise în desen cu Ø1, Ø2, Ø3, Ø4 și Ø5</w:t>
            </w:r>
          </w:p>
        </w:tc>
        <w:tc>
          <w:tcPr>
            <w:tcW w:w="1366" w:type="dxa"/>
            <w:vAlign w:val="center"/>
          </w:tcPr>
          <w:p w14:paraId="7B24CD3E" w14:textId="0D8F4409" w:rsidR="00BE1E1E" w:rsidRPr="00362552" w:rsidRDefault="00C95CA0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</w:t>
            </w:r>
            <w:r w:rsidR="00BE1E1E"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95CA0" w:rsidRPr="00362552" w14:paraId="3F9986B3" w14:textId="77777777" w:rsidTr="00E2613E">
        <w:tc>
          <w:tcPr>
            <w:tcW w:w="2405" w:type="dxa"/>
            <w:vMerge/>
            <w:vAlign w:val="center"/>
          </w:tcPr>
          <w:p w14:paraId="2234A2A7" w14:textId="77777777" w:rsidR="00C95CA0" w:rsidRPr="00362552" w:rsidRDefault="00C95CA0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850938B" w14:textId="77777777" w:rsidR="00C95CA0" w:rsidRPr="00362552" w:rsidRDefault="00C95CA0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6392226" w14:textId="6BCBEBFE" w:rsidR="00C95CA0" w:rsidRPr="00362552" w:rsidRDefault="00C95CA0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Respectarea corespondențelor  dintre cotele înscrise pe desen și cele măsurate</w:t>
            </w:r>
          </w:p>
        </w:tc>
        <w:tc>
          <w:tcPr>
            <w:tcW w:w="1366" w:type="dxa"/>
            <w:vAlign w:val="center"/>
          </w:tcPr>
          <w:p w14:paraId="78DFDFCC" w14:textId="17B7B168" w:rsidR="00C95CA0" w:rsidRPr="00362552" w:rsidRDefault="00C95CA0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8 p</w:t>
            </w:r>
          </w:p>
        </w:tc>
      </w:tr>
      <w:tr w:rsidR="00AE7523" w:rsidRPr="00362552" w14:paraId="22B06718" w14:textId="77777777" w:rsidTr="00E2613E">
        <w:tc>
          <w:tcPr>
            <w:tcW w:w="2405" w:type="dxa"/>
            <w:vMerge/>
            <w:vAlign w:val="center"/>
          </w:tcPr>
          <w:p w14:paraId="0BBE5376" w14:textId="77777777" w:rsidR="00AE7523" w:rsidRPr="00362552" w:rsidRDefault="00AE7523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F948E11" w14:textId="77777777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11ADE7F" w14:textId="0D6AB5A4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Respectarea normelor cu privire la protecţia muncii şi protecţia mediului;</w:t>
            </w:r>
          </w:p>
        </w:tc>
        <w:tc>
          <w:tcPr>
            <w:tcW w:w="1366" w:type="dxa"/>
            <w:vAlign w:val="center"/>
          </w:tcPr>
          <w:p w14:paraId="1ED66A15" w14:textId="77777777" w:rsidR="00AE7523" w:rsidRPr="00362552" w:rsidRDefault="00AE7523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E7523" w:rsidRPr="00362552" w14:paraId="68A13AA2" w14:textId="77777777" w:rsidTr="00E2613E">
        <w:tc>
          <w:tcPr>
            <w:tcW w:w="2405" w:type="dxa"/>
            <w:vMerge w:val="restart"/>
            <w:vAlign w:val="center"/>
          </w:tcPr>
          <w:p w14:paraId="6087DCEF" w14:textId="2DD01C75" w:rsidR="00AE7523" w:rsidRPr="00362552" w:rsidRDefault="00AE7523" w:rsidP="00362552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5733AD71" w14:textId="3302B31C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15 puncte</w:t>
            </w:r>
          </w:p>
        </w:tc>
        <w:tc>
          <w:tcPr>
            <w:tcW w:w="4111" w:type="dxa"/>
            <w:vAlign w:val="center"/>
          </w:tcPr>
          <w:p w14:paraId="7491A21D" w14:textId="726173D5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>Descrierea lucrării executate;</w:t>
            </w:r>
          </w:p>
        </w:tc>
        <w:tc>
          <w:tcPr>
            <w:tcW w:w="1366" w:type="dxa"/>
            <w:vAlign w:val="center"/>
          </w:tcPr>
          <w:p w14:paraId="1205191D" w14:textId="7438F9BA" w:rsidR="00AE7523" w:rsidRPr="00362552" w:rsidRDefault="00C95CA0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E7523" w:rsidRPr="00362552" w14:paraId="04CBF209" w14:textId="77777777" w:rsidTr="00E2613E">
        <w:tc>
          <w:tcPr>
            <w:tcW w:w="2405" w:type="dxa"/>
            <w:vMerge/>
            <w:vAlign w:val="center"/>
          </w:tcPr>
          <w:p w14:paraId="646FD7C9" w14:textId="62A9F95C" w:rsidR="00AE7523" w:rsidRPr="00362552" w:rsidRDefault="00AE7523" w:rsidP="00362552">
            <w:pPr>
              <w:spacing w:after="0" w:line="240" w:lineRule="auto"/>
              <w:ind w:right="603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1B63295" w14:textId="1B6CABAC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5BF3B92" w14:textId="694C185B" w:rsidR="00AE7523" w:rsidRPr="00362552" w:rsidRDefault="00AE7523" w:rsidP="0036255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Utilizarea terminologiei de specialitate în descrierea metodelor şi mijloacelor de măsurare şi control a </w:t>
            </w:r>
            <w:r w:rsidR="00C95CA0"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dimensiunilor indicate </w:t>
            </w:r>
            <w:r w:rsidR="00EE0735" w:rsidRPr="00362552">
              <w:rPr>
                <w:rFonts w:asciiTheme="minorHAnsi" w:hAnsiTheme="minorHAnsi" w:cstheme="minorHAnsi"/>
                <w:sz w:val="24"/>
                <w:szCs w:val="24"/>
              </w:rPr>
              <w:t xml:space="preserve">pe </w:t>
            </w:r>
            <w:r w:rsidR="00C95CA0" w:rsidRPr="00362552">
              <w:rPr>
                <w:rFonts w:asciiTheme="minorHAnsi" w:hAnsiTheme="minorHAnsi" w:cstheme="minorHAnsi"/>
                <w:sz w:val="24"/>
                <w:szCs w:val="24"/>
              </w:rPr>
              <w:t>desen</w:t>
            </w:r>
            <w:r w:rsidR="00EE0735" w:rsidRPr="0036255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14:paraId="045D27C9" w14:textId="225A79EB" w:rsidR="00AE7523" w:rsidRPr="00362552" w:rsidRDefault="00AE7523" w:rsidP="0036255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C95CA0"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0</w:t>
            </w:r>
            <w:r w:rsidRPr="0036255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</w:tbl>
    <w:p w14:paraId="7333AF06" w14:textId="77777777" w:rsidR="00CB75A2" w:rsidRPr="00362552" w:rsidRDefault="00CB75A2" w:rsidP="0036255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CB75A2" w:rsidRPr="00362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0568D"/>
    <w:multiLevelType w:val="hybridMultilevel"/>
    <w:tmpl w:val="401C0178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25F181D"/>
    <w:multiLevelType w:val="hybridMultilevel"/>
    <w:tmpl w:val="A782D7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1411754">
    <w:abstractNumId w:val="0"/>
  </w:num>
  <w:num w:numId="2" w16cid:durableId="412700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44"/>
    <w:rsid w:val="00025344"/>
    <w:rsid w:val="00167155"/>
    <w:rsid w:val="001767E0"/>
    <w:rsid w:val="001B6B42"/>
    <w:rsid w:val="001F50A4"/>
    <w:rsid w:val="00362552"/>
    <w:rsid w:val="00503886"/>
    <w:rsid w:val="005B072E"/>
    <w:rsid w:val="006F4FB2"/>
    <w:rsid w:val="00933D08"/>
    <w:rsid w:val="00A24F91"/>
    <w:rsid w:val="00AE7523"/>
    <w:rsid w:val="00BE1E1E"/>
    <w:rsid w:val="00C668D6"/>
    <w:rsid w:val="00C95CA0"/>
    <w:rsid w:val="00CB75A2"/>
    <w:rsid w:val="00CC701F"/>
    <w:rsid w:val="00DD0B65"/>
    <w:rsid w:val="00EE0735"/>
    <w:rsid w:val="00EE4129"/>
    <w:rsid w:val="00F4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FF86"/>
  <w15:chartTrackingRefBased/>
  <w15:docId w15:val="{A98EB314-8F59-496E-B457-368B33A2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F47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7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433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2022-05-14T09:00:00Z</dcterms:created>
  <dcterms:modified xsi:type="dcterms:W3CDTF">2022-05-14T13:10:00Z</dcterms:modified>
</cp:coreProperties>
</file>