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2B3C0" w14:textId="330D0F0C" w:rsidR="00F45EAD" w:rsidRDefault="00F45EAD" w:rsidP="00F45EAD">
      <w:pPr>
        <w:spacing w:line="360" w:lineRule="auto"/>
        <w:ind w:left="720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9D0965">
        <w:rPr>
          <w:rFonts w:ascii="Arial" w:hAnsi="Arial" w:cs="Arial"/>
          <w:b/>
          <w:sz w:val="24"/>
          <w:szCs w:val="24"/>
          <w:lang w:val="ro-RO"/>
        </w:rPr>
        <w:t>PROB</w:t>
      </w:r>
      <w:r>
        <w:rPr>
          <w:rFonts w:ascii="Arial" w:hAnsi="Arial" w:cs="Arial"/>
          <w:b/>
          <w:sz w:val="24"/>
          <w:szCs w:val="24"/>
          <w:lang w:val="ro-RO"/>
        </w:rPr>
        <w:t>Ă</w:t>
      </w:r>
      <w:r w:rsidRPr="009D0965">
        <w:rPr>
          <w:rFonts w:ascii="Arial" w:hAnsi="Arial" w:cs="Arial"/>
          <w:b/>
          <w:sz w:val="24"/>
          <w:szCs w:val="24"/>
          <w:lang w:val="ro-RO"/>
        </w:rPr>
        <w:t xml:space="preserve"> DE </w:t>
      </w:r>
      <w:r>
        <w:rPr>
          <w:rFonts w:ascii="Arial" w:hAnsi="Arial" w:cs="Arial"/>
          <w:b/>
          <w:sz w:val="24"/>
          <w:szCs w:val="24"/>
          <w:lang w:val="ro-RO"/>
        </w:rPr>
        <w:t>LABORATOR</w:t>
      </w:r>
    </w:p>
    <w:p w14:paraId="62667B6E" w14:textId="77777777" w:rsidR="00F45EAD" w:rsidRDefault="00F45EAD" w:rsidP="00F45EAD">
      <w:pPr>
        <w:ind w:left="720"/>
        <w:jc w:val="center"/>
        <w:rPr>
          <w:b/>
          <w:sz w:val="24"/>
          <w:szCs w:val="24"/>
          <w:lang w:val="ro-RO"/>
        </w:rPr>
      </w:pPr>
    </w:p>
    <w:p w14:paraId="109A0B06" w14:textId="77777777" w:rsidR="00F45EAD" w:rsidRDefault="00F45EAD" w:rsidP="00F45EAD">
      <w:pPr>
        <w:ind w:left="720"/>
        <w:jc w:val="center"/>
        <w:rPr>
          <w:b/>
          <w:sz w:val="24"/>
          <w:szCs w:val="24"/>
          <w:lang w:val="ro-RO"/>
        </w:rPr>
      </w:pPr>
    </w:p>
    <w:p w14:paraId="00A5936A" w14:textId="77777777" w:rsidR="00F45EAD" w:rsidRPr="00B45DC3" w:rsidRDefault="00F45EAD" w:rsidP="00F45EAD">
      <w:pPr>
        <w:ind w:left="720"/>
        <w:jc w:val="center"/>
        <w:rPr>
          <w:b/>
          <w:sz w:val="24"/>
          <w:szCs w:val="24"/>
          <w:lang w:val="ro-RO"/>
        </w:rPr>
      </w:pPr>
    </w:p>
    <w:p w14:paraId="6B14FFC1" w14:textId="77777777" w:rsidR="00F45EAD" w:rsidRPr="00B45DC3" w:rsidRDefault="00F45EAD" w:rsidP="00F45EAD">
      <w:pPr>
        <w:rPr>
          <w:b/>
          <w:bCs/>
          <w:sz w:val="24"/>
          <w:szCs w:val="24"/>
          <w:lang w:val="ro-RO"/>
        </w:rPr>
      </w:pPr>
      <w:r w:rsidRPr="002473E5">
        <w:rPr>
          <w:bCs/>
          <w:sz w:val="24"/>
          <w:szCs w:val="24"/>
          <w:lang w:val="ro-RO"/>
        </w:rPr>
        <w:t>Domeniul:</w:t>
      </w:r>
      <w:r w:rsidRPr="00B45DC3">
        <w:rPr>
          <w:b/>
          <w:sz w:val="24"/>
          <w:szCs w:val="24"/>
          <w:lang w:val="ro-RO"/>
        </w:rPr>
        <w:t>Construcţii, instalaţii şi lucrări publice</w:t>
      </w:r>
      <w:r w:rsidRPr="00B45DC3">
        <w:rPr>
          <w:b/>
          <w:sz w:val="24"/>
          <w:szCs w:val="24"/>
          <w:lang w:val="ro-RO"/>
        </w:rPr>
        <w:br/>
      </w:r>
      <w:r w:rsidRPr="002473E5">
        <w:rPr>
          <w:bCs/>
          <w:sz w:val="24"/>
          <w:szCs w:val="24"/>
          <w:lang w:val="ro-RO"/>
        </w:rPr>
        <w:t>Claificarea profesională:</w:t>
      </w:r>
      <w:r w:rsidRPr="00B45DC3">
        <w:rPr>
          <w:b/>
          <w:bCs/>
          <w:sz w:val="24"/>
          <w:szCs w:val="24"/>
          <w:lang w:val="ro-RO"/>
        </w:rPr>
        <w:t xml:space="preserve"> Tehnician desenator pentru construcții și instalații, Tehnician în construcţii şi lucrări publice;Tehnician instalator pentru construcţii</w:t>
      </w:r>
    </w:p>
    <w:p w14:paraId="1FA47C70" w14:textId="35B0A3C1" w:rsidR="00F45EAD" w:rsidRPr="00F45EAD" w:rsidRDefault="00F45EAD" w:rsidP="00F45EAD">
      <w:pPr>
        <w:jc w:val="both"/>
        <w:rPr>
          <w:b/>
          <w:sz w:val="24"/>
          <w:szCs w:val="24"/>
          <w:lang w:val="ro-RO"/>
        </w:rPr>
      </w:pPr>
      <w:r w:rsidRPr="002473E5">
        <w:rPr>
          <w:bCs/>
          <w:sz w:val="24"/>
          <w:szCs w:val="24"/>
          <w:lang w:val="ro-RO"/>
        </w:rPr>
        <w:t>Modul</w:t>
      </w:r>
      <w:r>
        <w:rPr>
          <w:bCs/>
          <w:sz w:val="24"/>
          <w:szCs w:val="24"/>
          <w:lang w:val="ro-RO"/>
        </w:rPr>
        <w:t xml:space="preserve"> I</w:t>
      </w:r>
      <w:r w:rsidRPr="002473E5">
        <w:rPr>
          <w:bCs/>
          <w:sz w:val="24"/>
          <w:szCs w:val="24"/>
          <w:lang w:val="ro-RO"/>
        </w:rPr>
        <w:t>:</w:t>
      </w:r>
      <w:r w:rsidRPr="00B45DC3">
        <w:rPr>
          <w:b/>
          <w:sz w:val="24"/>
          <w:szCs w:val="24"/>
          <w:lang w:val="ro-RO"/>
        </w:rPr>
        <w:t xml:space="preserve"> </w:t>
      </w:r>
      <w:r w:rsidRPr="007D7C54">
        <w:rPr>
          <w:b/>
          <w:bCs/>
          <w:sz w:val="24"/>
          <w:szCs w:val="24"/>
          <w:lang w:val="ro-RO"/>
        </w:rPr>
        <w:t>Desen pentru construcții și lucrări publice</w:t>
      </w:r>
    </w:p>
    <w:p w14:paraId="0446944E" w14:textId="77777777" w:rsidR="00F45EAD" w:rsidRPr="00B45DC3" w:rsidRDefault="00F45EAD" w:rsidP="00F45EAD">
      <w:pPr>
        <w:rPr>
          <w:b/>
          <w:bCs/>
          <w:sz w:val="24"/>
          <w:szCs w:val="24"/>
          <w:lang w:val="ro-RO"/>
        </w:rPr>
      </w:pPr>
      <w:r w:rsidRPr="002473E5">
        <w:rPr>
          <w:bCs/>
          <w:sz w:val="24"/>
          <w:szCs w:val="24"/>
          <w:lang w:val="ro-RO"/>
        </w:rPr>
        <w:t>An de studiu:</w:t>
      </w:r>
      <w:r w:rsidRPr="00B45DC3">
        <w:rPr>
          <w:b/>
          <w:sz w:val="24"/>
          <w:szCs w:val="24"/>
          <w:lang w:val="ro-RO"/>
        </w:rPr>
        <w:t xml:space="preserve"> clasa a X a</w:t>
      </w:r>
    </w:p>
    <w:p w14:paraId="22B42FFB" w14:textId="0EEA7FDA" w:rsidR="00F45EAD" w:rsidRDefault="00F45EAD" w:rsidP="00F45EAD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DD997B" w14:textId="77777777" w:rsidR="00C63660" w:rsidRPr="0053593F" w:rsidRDefault="00C63660" w:rsidP="00C63660">
      <w:pPr>
        <w:tabs>
          <w:tab w:val="left" w:pos="4111"/>
          <w:tab w:val="left" w:pos="4820"/>
        </w:tabs>
        <w:jc w:val="both"/>
        <w:rPr>
          <w:bCs/>
          <w:sz w:val="24"/>
          <w:szCs w:val="24"/>
          <w:highlight w:val="yellow"/>
        </w:rPr>
      </w:pPr>
      <w:proofErr w:type="spellStart"/>
      <w:r w:rsidRPr="0053593F">
        <w:rPr>
          <w:b/>
          <w:sz w:val="24"/>
          <w:szCs w:val="24"/>
        </w:rPr>
        <w:t>Unitatea</w:t>
      </w:r>
      <w:proofErr w:type="spellEnd"/>
      <w:r w:rsidRPr="0053593F">
        <w:rPr>
          <w:b/>
          <w:sz w:val="24"/>
          <w:szCs w:val="24"/>
        </w:rPr>
        <w:t xml:space="preserve"> de </w:t>
      </w:r>
      <w:proofErr w:type="spellStart"/>
      <w:r w:rsidRPr="0053593F">
        <w:rPr>
          <w:b/>
          <w:sz w:val="24"/>
          <w:szCs w:val="24"/>
        </w:rPr>
        <w:t>rezultate</w:t>
      </w:r>
      <w:proofErr w:type="spellEnd"/>
      <w:r w:rsidRPr="0053593F">
        <w:rPr>
          <w:b/>
          <w:sz w:val="24"/>
          <w:szCs w:val="24"/>
        </w:rPr>
        <w:t xml:space="preserve"> ale </w:t>
      </w:r>
      <w:proofErr w:type="spellStart"/>
      <w:r w:rsidRPr="0053593F">
        <w:rPr>
          <w:b/>
          <w:sz w:val="24"/>
          <w:szCs w:val="24"/>
        </w:rPr>
        <w:t>învăţării</w:t>
      </w:r>
      <w:proofErr w:type="spellEnd"/>
      <w:r w:rsidRPr="0053593F">
        <w:rPr>
          <w:b/>
          <w:sz w:val="24"/>
          <w:szCs w:val="24"/>
        </w:rPr>
        <w:t xml:space="preserve"> – </w:t>
      </w:r>
      <w:proofErr w:type="spellStart"/>
      <w:r w:rsidRPr="0053593F">
        <w:rPr>
          <w:b/>
          <w:sz w:val="24"/>
          <w:szCs w:val="24"/>
        </w:rPr>
        <w:t>tehnice</w:t>
      </w:r>
      <w:proofErr w:type="spellEnd"/>
      <w:r w:rsidRPr="0053593F">
        <w:rPr>
          <w:b/>
          <w:sz w:val="24"/>
          <w:szCs w:val="24"/>
        </w:rPr>
        <w:t xml:space="preserve"> </w:t>
      </w:r>
      <w:proofErr w:type="spellStart"/>
      <w:r w:rsidRPr="0053593F">
        <w:rPr>
          <w:b/>
          <w:sz w:val="24"/>
          <w:szCs w:val="24"/>
        </w:rPr>
        <w:t>generale</w:t>
      </w:r>
      <w:proofErr w:type="spellEnd"/>
      <w:r w:rsidRPr="0053593F">
        <w:rPr>
          <w:b/>
          <w:sz w:val="24"/>
          <w:szCs w:val="24"/>
        </w:rPr>
        <w:t>:</w:t>
      </w:r>
    </w:p>
    <w:p w14:paraId="553791B4" w14:textId="10202F5B" w:rsidR="00C63660" w:rsidRPr="00C63660" w:rsidRDefault="00C63660" w:rsidP="00C63660">
      <w:pPr>
        <w:jc w:val="both"/>
        <w:rPr>
          <w:b/>
          <w:bCs/>
          <w:sz w:val="24"/>
          <w:szCs w:val="24"/>
        </w:rPr>
      </w:pPr>
      <w:r w:rsidRPr="0053593F">
        <w:rPr>
          <w:b/>
          <w:sz w:val="24"/>
          <w:szCs w:val="24"/>
        </w:rPr>
        <w:t>3. UTILIZAREA REPREZENTĂRILOR CONVENŢIONALE ÎN SCOPUL REALIZĂRII LUCRĂRILOR DE CONSTRUCŢII, INSTALAŢII ŞI LUCRĂRI PUBLICE</w:t>
      </w:r>
    </w:p>
    <w:p w14:paraId="5222009A" w14:textId="6A02C798" w:rsidR="00853BFC" w:rsidRDefault="00C63660">
      <w:pPr>
        <w:rPr>
          <w:b/>
          <w:bCs/>
          <w:sz w:val="24"/>
          <w:szCs w:val="24"/>
        </w:rPr>
      </w:pPr>
      <w:proofErr w:type="spellStart"/>
      <w:r w:rsidRPr="00C63660">
        <w:rPr>
          <w:b/>
          <w:bCs/>
          <w:sz w:val="24"/>
          <w:szCs w:val="24"/>
        </w:rPr>
        <w:t>Cunoştinţe</w:t>
      </w:r>
      <w:proofErr w:type="spellEnd"/>
    </w:p>
    <w:p w14:paraId="07AFFB32" w14:textId="04753AA8" w:rsidR="001755DB" w:rsidRPr="001755DB" w:rsidRDefault="001755DB" w:rsidP="001755DB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en-GB" w:eastAsia="en-US"/>
        </w:rPr>
      </w:pPr>
      <w:r w:rsidRPr="001755DB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 xml:space="preserve">3.1.5.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Semne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convenţionale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pentru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reprezentarea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materialelor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construcţii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,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instalaţii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lucrări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publice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</w:p>
    <w:p w14:paraId="2BEE0C47" w14:textId="77777777" w:rsidR="001755DB" w:rsidRPr="001755DB" w:rsidRDefault="001755DB" w:rsidP="001755DB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en-GB" w:eastAsia="en-US"/>
        </w:rPr>
      </w:pPr>
      <w:r w:rsidRPr="001755DB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 xml:space="preserve">3.1.8.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Regulile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cotare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a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diferitelor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tipuri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reprezentări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grafice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</w:p>
    <w:p w14:paraId="0692AE45" w14:textId="1E444171" w:rsidR="001755DB" w:rsidRPr="00C63660" w:rsidRDefault="001755DB" w:rsidP="001755DB">
      <w:pPr>
        <w:rPr>
          <w:b/>
          <w:bCs/>
          <w:sz w:val="24"/>
          <w:szCs w:val="24"/>
        </w:rPr>
      </w:pPr>
      <w:r w:rsidRPr="001755DB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 xml:space="preserve">3.1.9.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Scări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reprezentare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specifice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desenelor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pentru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lucrări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construcţii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,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instalaţii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lucrări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publice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</w:p>
    <w:p w14:paraId="3F445CAC" w14:textId="77777777" w:rsidR="00C63660" w:rsidRPr="0053593F" w:rsidRDefault="00C63660" w:rsidP="00C63660">
      <w:pPr>
        <w:rPr>
          <w:bCs/>
          <w:sz w:val="24"/>
          <w:szCs w:val="24"/>
        </w:rPr>
      </w:pPr>
      <w:r w:rsidRPr="0053593F">
        <w:rPr>
          <w:b/>
          <w:sz w:val="24"/>
          <w:szCs w:val="24"/>
        </w:rPr>
        <w:t>3.1.10.</w:t>
      </w:r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Utilizarea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reprezentărilor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convenţionale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în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scopul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realizării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planurilor</w:t>
      </w:r>
      <w:proofErr w:type="spellEnd"/>
      <w:r w:rsidRPr="0053593F">
        <w:rPr>
          <w:sz w:val="24"/>
          <w:szCs w:val="24"/>
        </w:rPr>
        <w:t xml:space="preserve"> simple </w:t>
      </w:r>
      <w:proofErr w:type="spellStart"/>
      <w:r w:rsidRPr="0053593F">
        <w:rPr>
          <w:sz w:val="24"/>
          <w:szCs w:val="24"/>
        </w:rPr>
        <w:t>pentru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construcţii</w:t>
      </w:r>
      <w:proofErr w:type="spellEnd"/>
      <w:r w:rsidRPr="0053593F">
        <w:rPr>
          <w:sz w:val="24"/>
          <w:szCs w:val="24"/>
        </w:rPr>
        <w:t xml:space="preserve">, </w:t>
      </w:r>
      <w:proofErr w:type="spellStart"/>
      <w:r w:rsidRPr="0053593F">
        <w:rPr>
          <w:sz w:val="24"/>
          <w:szCs w:val="24"/>
        </w:rPr>
        <w:t>instalaţii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şi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lucrări</w:t>
      </w:r>
      <w:proofErr w:type="spellEnd"/>
      <w:r w:rsidRPr="0053593F">
        <w:rPr>
          <w:sz w:val="24"/>
          <w:szCs w:val="24"/>
        </w:rPr>
        <w:t xml:space="preserve"> </w:t>
      </w:r>
      <w:proofErr w:type="spellStart"/>
      <w:r w:rsidRPr="0053593F">
        <w:rPr>
          <w:sz w:val="24"/>
          <w:szCs w:val="24"/>
        </w:rPr>
        <w:t>publice</w:t>
      </w:r>
      <w:proofErr w:type="spellEnd"/>
      <w:r w:rsidRPr="0053593F">
        <w:rPr>
          <w:bCs/>
          <w:sz w:val="24"/>
          <w:szCs w:val="24"/>
        </w:rPr>
        <w:t xml:space="preserve"> </w:t>
      </w:r>
    </w:p>
    <w:p w14:paraId="5785B037" w14:textId="2057EC97" w:rsidR="00591731" w:rsidRDefault="004E199C">
      <w:pPr>
        <w:rPr>
          <w:b/>
          <w:bCs/>
          <w:sz w:val="24"/>
          <w:szCs w:val="24"/>
        </w:rPr>
      </w:pPr>
      <w:proofErr w:type="spellStart"/>
      <w:r w:rsidRPr="004E199C">
        <w:rPr>
          <w:b/>
          <w:bCs/>
          <w:sz w:val="24"/>
          <w:szCs w:val="24"/>
        </w:rPr>
        <w:t>Abilităţi</w:t>
      </w:r>
      <w:proofErr w:type="spellEnd"/>
    </w:p>
    <w:p w14:paraId="681C211D" w14:textId="4A8094F8" w:rsidR="001755DB" w:rsidRDefault="001755DB" w:rsidP="001755DB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en-GB" w:eastAsia="en-US"/>
        </w:rPr>
      </w:pPr>
      <w:r w:rsidRPr="001755DB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 xml:space="preserve">3.2.5.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Identificarea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elementelor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construcţii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,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instalaţii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lucrări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publice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din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planuri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,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secţiuni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vederi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, pe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baza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tipurilor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linii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cu care sunt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reprezentate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a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semnelor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>convenţionale</w:t>
      </w:r>
      <w:proofErr w:type="spellEnd"/>
      <w:r w:rsidRPr="001755DB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</w:p>
    <w:p w14:paraId="59E3C87B" w14:textId="77777777" w:rsidR="0047224F" w:rsidRPr="0047224F" w:rsidRDefault="0047224F" w:rsidP="0047224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en-GB" w:eastAsia="en-US"/>
        </w:rPr>
      </w:pPr>
      <w:r w:rsidRPr="0047224F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 xml:space="preserve">3.2.8.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Transformarea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la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scară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a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diferitelor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mărimi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ale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unor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obiecte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reale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în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scopul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reprezentării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grafice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gram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a</w:t>
      </w:r>
      <w:proofErr w:type="gram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>acestora</w:t>
      </w:r>
      <w:proofErr w:type="spellEnd"/>
      <w:r w:rsidRPr="0047224F">
        <w:rPr>
          <w:rFonts w:eastAsiaTheme="minorHAnsi"/>
          <w:i/>
          <w:iCs/>
          <w:color w:val="000000"/>
          <w:sz w:val="23"/>
          <w:szCs w:val="23"/>
          <w:lang w:val="en-GB" w:eastAsia="en-US"/>
        </w:rPr>
        <w:t xml:space="preserve"> </w:t>
      </w:r>
    </w:p>
    <w:p w14:paraId="41DFC16B" w14:textId="117D0D0B" w:rsidR="0047224F" w:rsidRPr="001755DB" w:rsidRDefault="0047224F" w:rsidP="0047224F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val="en-GB" w:eastAsia="en-US"/>
        </w:rPr>
      </w:pPr>
      <w:r w:rsidRPr="0047224F">
        <w:rPr>
          <w:rFonts w:eastAsiaTheme="minorHAnsi"/>
          <w:b/>
          <w:bCs/>
          <w:color w:val="000000"/>
          <w:sz w:val="23"/>
          <w:szCs w:val="23"/>
          <w:lang w:val="en-GB" w:eastAsia="en-US"/>
        </w:rPr>
        <w:t>3.2.9</w:t>
      </w:r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.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Citirea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reprezentărilor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grafice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ale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elementelor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construcţii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,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lucrări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publice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şi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a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schemelor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de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instalaţii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pe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baza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reprezentărilor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  <w:proofErr w:type="spellStart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>convenţionale</w:t>
      </w:r>
      <w:proofErr w:type="spellEnd"/>
      <w:r w:rsidRPr="0047224F">
        <w:rPr>
          <w:rFonts w:eastAsiaTheme="minorHAnsi"/>
          <w:color w:val="000000"/>
          <w:sz w:val="23"/>
          <w:szCs w:val="23"/>
          <w:lang w:val="en-GB" w:eastAsia="en-US"/>
        </w:rPr>
        <w:t xml:space="preserve"> </w:t>
      </w:r>
    </w:p>
    <w:p w14:paraId="33B2C6AF" w14:textId="77777777" w:rsidR="004E199C" w:rsidRPr="0053593F" w:rsidRDefault="004E199C" w:rsidP="004E199C">
      <w:pPr>
        <w:rPr>
          <w:sz w:val="24"/>
          <w:szCs w:val="24"/>
          <w:lang w:val="it-IT"/>
        </w:rPr>
      </w:pPr>
      <w:r w:rsidRPr="0053593F">
        <w:rPr>
          <w:b/>
          <w:sz w:val="24"/>
          <w:szCs w:val="24"/>
          <w:lang w:val="it-IT"/>
        </w:rPr>
        <w:t>3.2.10.</w:t>
      </w:r>
      <w:r w:rsidRPr="0053593F">
        <w:rPr>
          <w:sz w:val="24"/>
          <w:szCs w:val="24"/>
          <w:lang w:val="it-IT"/>
        </w:rPr>
        <w:t xml:space="preserve"> Reprezentarea grafică la scară, a planurilor unor încăperi ale construcţiilor,  a schemelor de instalaţii şi a schemelor de căi de comunicaţii, folosind tipurile de linii, semnele convenţionale şi regulile de cotare specifice</w:t>
      </w:r>
    </w:p>
    <w:p w14:paraId="49CF606B" w14:textId="6C7CEAEF" w:rsidR="004E199C" w:rsidRDefault="004E199C" w:rsidP="004E199C">
      <w:r w:rsidRPr="0053593F">
        <w:rPr>
          <w:b/>
          <w:sz w:val="24"/>
          <w:szCs w:val="24"/>
          <w:lang w:val="it-IT"/>
        </w:rPr>
        <w:t>3.2.11.</w:t>
      </w:r>
      <w:r w:rsidRPr="0053593F">
        <w:rPr>
          <w:i/>
          <w:sz w:val="24"/>
          <w:szCs w:val="24"/>
          <w:lang w:val="it-IT"/>
        </w:rPr>
        <w:t xml:space="preserve"> Utilizarea corectă a vocabularului comun şi a celui de specialitate specific domeniului construcţii, instalaţii şi lucrări publice</w:t>
      </w:r>
    </w:p>
    <w:p w14:paraId="2572FC66" w14:textId="7E062ED6" w:rsidR="00591731" w:rsidRDefault="004E199C">
      <w:pPr>
        <w:rPr>
          <w:b/>
          <w:bCs/>
          <w:sz w:val="24"/>
          <w:szCs w:val="24"/>
        </w:rPr>
      </w:pPr>
      <w:proofErr w:type="spellStart"/>
      <w:r w:rsidRPr="004E199C">
        <w:rPr>
          <w:b/>
          <w:bCs/>
          <w:sz w:val="24"/>
          <w:szCs w:val="24"/>
        </w:rPr>
        <w:t>Atitudini</w:t>
      </w:r>
      <w:proofErr w:type="spellEnd"/>
    </w:p>
    <w:p w14:paraId="0FA21DE6" w14:textId="1397F057" w:rsidR="004E199C" w:rsidRPr="004E199C" w:rsidRDefault="004E199C" w:rsidP="004E199C">
      <w:pPr>
        <w:rPr>
          <w:i/>
          <w:sz w:val="24"/>
          <w:szCs w:val="24"/>
          <w:lang w:val="it-IT"/>
        </w:rPr>
      </w:pPr>
      <w:r w:rsidRPr="0053593F">
        <w:rPr>
          <w:b/>
          <w:sz w:val="24"/>
          <w:szCs w:val="24"/>
          <w:lang w:val="it-IT"/>
        </w:rPr>
        <w:t>3.3.1.</w:t>
      </w:r>
      <w:r w:rsidRPr="0053593F">
        <w:rPr>
          <w:sz w:val="24"/>
          <w:szCs w:val="24"/>
          <w:lang w:val="it-IT"/>
        </w:rPr>
        <w:t xml:space="preserve"> </w:t>
      </w:r>
      <w:r w:rsidRPr="0053593F">
        <w:rPr>
          <w:i/>
          <w:sz w:val="24"/>
          <w:szCs w:val="24"/>
          <w:lang w:val="it-IT"/>
        </w:rPr>
        <w:t>Asumarea responsabilităţii pentru realizarea sarcinilor de lucru.</w:t>
      </w:r>
    </w:p>
    <w:p w14:paraId="5961AF89" w14:textId="77777777" w:rsidR="004E199C" w:rsidRPr="0053593F" w:rsidRDefault="004E199C" w:rsidP="004E199C">
      <w:pPr>
        <w:rPr>
          <w:sz w:val="24"/>
          <w:szCs w:val="24"/>
          <w:lang w:val="it-IT"/>
        </w:rPr>
      </w:pPr>
      <w:r w:rsidRPr="0053593F">
        <w:rPr>
          <w:b/>
          <w:sz w:val="24"/>
          <w:szCs w:val="24"/>
          <w:lang w:val="it-IT"/>
        </w:rPr>
        <w:t>3.3.3.</w:t>
      </w:r>
      <w:r w:rsidRPr="0053593F">
        <w:rPr>
          <w:sz w:val="24"/>
          <w:szCs w:val="24"/>
          <w:lang w:val="it-IT"/>
        </w:rPr>
        <w:t xml:space="preserve"> Realizarea în mod autonom de schiţe în scopul realizării de reprezentări grafice la scară</w:t>
      </w:r>
    </w:p>
    <w:p w14:paraId="4E3FD14F" w14:textId="6C631C87" w:rsidR="004E199C" w:rsidRDefault="004E199C">
      <w:pPr>
        <w:rPr>
          <w:b/>
          <w:bCs/>
          <w:sz w:val="24"/>
          <w:szCs w:val="24"/>
        </w:rPr>
      </w:pPr>
    </w:p>
    <w:p w14:paraId="0B59D0D0" w14:textId="77777777" w:rsidR="004E199C" w:rsidRDefault="004E199C" w:rsidP="004E199C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371BC">
        <w:rPr>
          <w:rFonts w:ascii="Times New Roman" w:hAnsi="Times New Roman" w:cs="Times New Roman"/>
          <w:b/>
          <w:sz w:val="24"/>
          <w:szCs w:val="24"/>
        </w:rPr>
        <w:t xml:space="preserve">Obiectivele evaluării </w:t>
      </w:r>
    </w:p>
    <w:p w14:paraId="0FAC7DF4" w14:textId="77777777" w:rsidR="004E199C" w:rsidRPr="009371BC" w:rsidRDefault="004E199C" w:rsidP="004E199C">
      <w:pPr>
        <w:pStyle w:val="PlainText"/>
        <w:ind w:left="2880" w:hanging="288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768AA91" w14:textId="7DF864B3" w:rsidR="004E199C" w:rsidRPr="009371BC" w:rsidRDefault="004E199C" w:rsidP="004E199C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71BC">
        <w:rPr>
          <w:rFonts w:ascii="Times New Roman" w:hAnsi="Times New Roman" w:cs="Times New Roman"/>
          <w:sz w:val="24"/>
          <w:szCs w:val="24"/>
        </w:rPr>
        <w:t xml:space="preserve">Alegerea </w:t>
      </w:r>
      <w:r w:rsidR="00226BAC">
        <w:rPr>
          <w:rFonts w:ascii="Times New Roman" w:hAnsi="Times New Roman" w:cs="Times New Roman"/>
          <w:sz w:val="24"/>
          <w:szCs w:val="24"/>
        </w:rPr>
        <w:t xml:space="preserve">şi folosirea </w:t>
      </w:r>
      <w:r w:rsidRPr="009371BC">
        <w:rPr>
          <w:rFonts w:ascii="Times New Roman" w:hAnsi="Times New Roman" w:cs="Times New Roman"/>
          <w:sz w:val="24"/>
          <w:szCs w:val="24"/>
        </w:rPr>
        <w:t>instrumentelor de desen adecvate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646DF8" w14:textId="77777777" w:rsidR="004E199C" w:rsidRDefault="004E199C" w:rsidP="004E199C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Alegerea formatului planşei de desen adecvată;</w:t>
      </w:r>
    </w:p>
    <w:p w14:paraId="4BD41BA5" w14:textId="0E567180" w:rsidR="004E199C" w:rsidRPr="00827159" w:rsidRDefault="004E199C" w:rsidP="004E199C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Reprezentarea la scara </w:t>
      </w:r>
      <w:r w:rsidR="00F0673B">
        <w:rPr>
          <w:rFonts w:ascii="Times New Roman" w:hAnsi="Times New Roman" w:cs="Times New Roman"/>
          <w:sz w:val="24"/>
          <w:szCs w:val="24"/>
        </w:rPr>
        <w:t>a secţiunii date, respectând regulile de desen</w:t>
      </w:r>
    </w:p>
    <w:p w14:paraId="23355EF6" w14:textId="20B65AA8" w:rsidR="004E199C" w:rsidRPr="00973633" w:rsidRDefault="004E199C" w:rsidP="004E199C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35653">
        <w:rPr>
          <w:rFonts w:ascii="Times New Roman" w:hAnsi="Times New Roman" w:cs="Times New Roman"/>
          <w:sz w:val="24"/>
          <w:szCs w:val="24"/>
        </w:rPr>
        <w:t xml:space="preserve">Cotarea </w:t>
      </w:r>
      <w:r w:rsidR="00973633">
        <w:rPr>
          <w:rFonts w:ascii="Times New Roman" w:hAnsi="Times New Roman" w:cs="Times New Roman"/>
          <w:sz w:val="24"/>
          <w:szCs w:val="24"/>
        </w:rPr>
        <w:t>desenului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35653">
        <w:rPr>
          <w:rFonts w:ascii="Times New Roman" w:hAnsi="Times New Roman" w:cs="Times New Roman"/>
          <w:sz w:val="24"/>
          <w:szCs w:val="24"/>
        </w:rPr>
        <w:t xml:space="preserve"> conform regulile desenului tehnic de construcţii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C0A159" w14:textId="223C7BB0" w:rsidR="00973633" w:rsidRPr="009374F7" w:rsidRDefault="00973633" w:rsidP="004E199C">
      <w:pPr>
        <w:pStyle w:val="PlainTex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Reprezentarea semnelor convenţionale corespunzătoare fiecărui material </w:t>
      </w:r>
      <w:r w:rsidR="004E0293">
        <w:rPr>
          <w:rFonts w:ascii="Times New Roman" w:hAnsi="Times New Roman" w:cs="Times New Roman"/>
          <w:sz w:val="24"/>
          <w:szCs w:val="24"/>
        </w:rPr>
        <w:t>conform STAS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88CAEC" w14:textId="77777777" w:rsidR="004E199C" w:rsidRDefault="004E199C" w:rsidP="004E199C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07DDAB7C" w14:textId="5131FD0D" w:rsidR="004E199C" w:rsidRDefault="004E199C" w:rsidP="004E199C">
      <w:pPr>
        <w:pStyle w:val="PlainText"/>
        <w:ind w:left="502"/>
        <w:jc w:val="both"/>
        <w:rPr>
          <w:rFonts w:ascii="Arial" w:hAnsi="Arial" w:cs="Arial"/>
          <w:b/>
          <w:sz w:val="24"/>
          <w:szCs w:val="24"/>
        </w:rPr>
      </w:pPr>
    </w:p>
    <w:p w14:paraId="15467F14" w14:textId="0561C2F1" w:rsidR="004E199C" w:rsidRDefault="004E199C" w:rsidP="004E199C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12804D47" w14:textId="77777777" w:rsidR="004E0293" w:rsidRDefault="004E0293" w:rsidP="004E199C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4C85E999" w14:textId="77777777" w:rsidR="004E199C" w:rsidRPr="00973633" w:rsidRDefault="004E199C" w:rsidP="004E199C">
      <w:pPr>
        <w:pStyle w:val="PlainText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77A4375B" w14:textId="77777777" w:rsidR="00226BAC" w:rsidRPr="00973633" w:rsidRDefault="00226BAC" w:rsidP="00226BAC">
      <w:pPr>
        <w:rPr>
          <w:sz w:val="24"/>
          <w:szCs w:val="24"/>
          <w:lang w:val="ro-RO"/>
        </w:rPr>
      </w:pPr>
      <w:r w:rsidRPr="00973633">
        <w:rPr>
          <w:b/>
          <w:sz w:val="24"/>
          <w:szCs w:val="24"/>
          <w:lang w:val="ro-RO"/>
        </w:rPr>
        <w:lastRenderedPageBreak/>
        <w:t>Tema</w:t>
      </w:r>
      <w:r w:rsidRPr="00973633">
        <w:rPr>
          <w:sz w:val="24"/>
          <w:szCs w:val="24"/>
          <w:lang w:val="ro-RO"/>
        </w:rPr>
        <w:t xml:space="preserve"> </w:t>
      </w:r>
    </w:p>
    <w:p w14:paraId="71ECA53A" w14:textId="08A9E5CF" w:rsidR="00226BAC" w:rsidRPr="00973633" w:rsidRDefault="00226BAC" w:rsidP="00226BAC">
      <w:pPr>
        <w:rPr>
          <w:sz w:val="24"/>
          <w:szCs w:val="24"/>
          <w:lang w:val="ro-RO"/>
        </w:rPr>
      </w:pPr>
      <w:r w:rsidRPr="00973633">
        <w:rPr>
          <w:sz w:val="24"/>
          <w:szCs w:val="24"/>
          <w:lang w:val="ro-RO"/>
        </w:rPr>
        <w:t xml:space="preserve">Executaţi la scara 1:50, </w:t>
      </w:r>
      <w:r w:rsidR="004E0293">
        <w:rPr>
          <w:sz w:val="24"/>
          <w:szCs w:val="24"/>
          <w:lang w:val="ro-RO"/>
        </w:rPr>
        <w:t>detaliul</w:t>
      </w:r>
      <w:r w:rsidR="004E0293" w:rsidRPr="004E0293">
        <w:rPr>
          <w:sz w:val="24"/>
          <w:szCs w:val="24"/>
          <w:lang w:val="ro-RO"/>
        </w:rPr>
        <w:t xml:space="preserve"> </w:t>
      </w:r>
      <w:r w:rsidR="004E0293" w:rsidRPr="00973633">
        <w:rPr>
          <w:sz w:val="24"/>
          <w:szCs w:val="24"/>
          <w:lang w:val="ro-RO"/>
        </w:rPr>
        <w:t>din schiţa de mai</w:t>
      </w:r>
      <w:r w:rsidR="004E0293">
        <w:rPr>
          <w:sz w:val="24"/>
          <w:szCs w:val="24"/>
          <w:lang w:val="ro-RO"/>
        </w:rPr>
        <w:t xml:space="preserve"> jos, care reprezintă </w:t>
      </w:r>
      <w:r w:rsidRPr="00973633">
        <w:rPr>
          <w:sz w:val="24"/>
          <w:szCs w:val="24"/>
          <w:lang w:val="ro-RO"/>
        </w:rPr>
        <w:t>secţiunea prin fundaţia continuă din beton</w:t>
      </w:r>
      <w:r w:rsidR="004E0293">
        <w:rPr>
          <w:sz w:val="24"/>
          <w:szCs w:val="24"/>
          <w:lang w:val="ro-RO"/>
        </w:rPr>
        <w:t>.</w:t>
      </w:r>
      <w:r w:rsidRPr="00973633">
        <w:rPr>
          <w:sz w:val="24"/>
          <w:szCs w:val="24"/>
          <w:lang w:val="ro-RO"/>
        </w:rPr>
        <w:t xml:space="preserve"> Completați  reprezentările convenţionale ale materialelor cuprinse în secţiunea dată, respectiv:</w:t>
      </w:r>
    </w:p>
    <w:p w14:paraId="1E8B95FD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beton simplu  din fundaţie şi din soclu;</w:t>
      </w:r>
    </w:p>
    <w:p w14:paraId="6C05BE62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izolatia hidrofugă între soclul din beton şi peretele de zidărie;</w:t>
      </w:r>
    </w:p>
    <w:p w14:paraId="3365ADA3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peretele exterior din zidărie de cărămidă;</w:t>
      </w:r>
    </w:p>
    <w:p w14:paraId="5EC31FC1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umplutura de sub pardoseală şi de sub dala trotuarului;</w:t>
      </w:r>
    </w:p>
    <w:p w14:paraId="7EA60B46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planşeu din beton armat monolit;</w:t>
      </w:r>
    </w:p>
    <w:p w14:paraId="430B664E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dala prefabricată din beton pentru trotuar;</w:t>
      </w:r>
    </w:p>
    <w:p w14:paraId="27608B24" w14:textId="77777777" w:rsidR="00226BAC" w:rsidRPr="00973633" w:rsidRDefault="00226BAC" w:rsidP="00226BA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73633">
        <w:rPr>
          <w:rFonts w:ascii="Times New Roman" w:hAnsi="Times New Roman" w:cs="Times New Roman"/>
          <w:sz w:val="24"/>
          <w:szCs w:val="24"/>
        </w:rPr>
        <w:t>pământ;</w:t>
      </w:r>
    </w:p>
    <w:p w14:paraId="3DC69E86" w14:textId="77777777" w:rsidR="00226BAC" w:rsidRPr="00973633" w:rsidRDefault="00226BAC" w:rsidP="00226BAC">
      <w:pPr>
        <w:pStyle w:val="ListParagraph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3633">
        <w:rPr>
          <w:rFonts w:ascii="Times New Roman" w:hAnsi="Times New Roman" w:cs="Times New Roman"/>
          <w:b/>
          <w:sz w:val="24"/>
          <w:szCs w:val="24"/>
        </w:rPr>
        <w:t>Notă:</w:t>
      </w:r>
    </w:p>
    <w:p w14:paraId="07BC483C" w14:textId="77777777" w:rsidR="00226BAC" w:rsidRPr="00973633" w:rsidRDefault="00226BAC" w:rsidP="00226BAC">
      <w:pPr>
        <w:rPr>
          <w:sz w:val="24"/>
          <w:szCs w:val="24"/>
          <w:lang w:val="ro-RO"/>
        </w:rPr>
      </w:pPr>
      <w:r w:rsidRPr="00973633">
        <w:rPr>
          <w:sz w:val="24"/>
          <w:szCs w:val="24"/>
          <w:lang w:val="ro-RO"/>
        </w:rPr>
        <w:t>Respectați  toate regulile desenului tehnic de construcţii referitoare la proiectarea, reprezentarea la scară şi cotarea elementelor din beton armat.</w:t>
      </w:r>
    </w:p>
    <w:p w14:paraId="5D2BD932" w14:textId="77777777" w:rsidR="00226BAC" w:rsidRPr="00F77D6D" w:rsidRDefault="00226BAC" w:rsidP="00226BAC">
      <w:pPr>
        <w:rPr>
          <w:rFonts w:ascii="Arial" w:hAnsi="Arial" w:cs="Arial"/>
          <w:sz w:val="24"/>
          <w:szCs w:val="24"/>
          <w:lang w:val="ro-RO"/>
        </w:rPr>
      </w:pPr>
    </w:p>
    <w:p w14:paraId="7638443A" w14:textId="77777777" w:rsidR="00226BAC" w:rsidRPr="0059709E" w:rsidRDefault="00226BAC" w:rsidP="00226BAC">
      <w:pPr>
        <w:rPr>
          <w:rFonts w:ascii="Arial" w:hAnsi="Arial" w:cs="Arial"/>
          <w:lang w:val="ro-RO"/>
        </w:rPr>
      </w:pPr>
    </w:p>
    <w:p w14:paraId="679E68F1" w14:textId="77777777" w:rsidR="00226BAC" w:rsidRPr="009371BC" w:rsidRDefault="00226BAC" w:rsidP="00226BAC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  <w:r w:rsidRPr="0059709E">
        <w:rPr>
          <w:lang w:val="ro-RO"/>
        </w:rPr>
        <w:object w:dxaOrig="7559" w:dyaOrig="5804" w14:anchorId="58956D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6pt;height:261pt" o:ole="">
            <v:imagedata r:id="rId5" o:title=""/>
          </v:shape>
          <o:OLEObject Type="Embed" ProgID="PBrush" ShapeID="_x0000_i1025" DrawAspect="Content" ObjectID="_1715093509" r:id="rId6"/>
        </w:object>
      </w:r>
    </w:p>
    <w:p w14:paraId="432CD9C4" w14:textId="77777777" w:rsidR="00226BAC" w:rsidRPr="009371BC" w:rsidRDefault="00226BAC" w:rsidP="00226BAC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2AAB037B" w14:textId="77777777" w:rsidR="00226BAC" w:rsidRDefault="00226BAC" w:rsidP="00226BAC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  <w:r w:rsidRPr="009371BC">
        <w:rPr>
          <w:rFonts w:ascii="Times New Roman" w:eastAsiaTheme="minorEastAsia" w:hAnsi="Times New Roman"/>
          <w:b/>
          <w:lang w:val="ro-RO"/>
        </w:rPr>
        <w:t>Sarcină de lucru</w:t>
      </w:r>
    </w:p>
    <w:p w14:paraId="7DB13FE6" w14:textId="77777777" w:rsidR="00226BAC" w:rsidRPr="009371BC" w:rsidRDefault="00226BAC" w:rsidP="00226BAC">
      <w:pPr>
        <w:pStyle w:val="BodyText"/>
        <w:jc w:val="left"/>
        <w:rPr>
          <w:rFonts w:ascii="Times New Roman" w:eastAsiaTheme="minorEastAsia" w:hAnsi="Times New Roman"/>
          <w:b/>
          <w:lang w:val="ro-RO"/>
        </w:rPr>
      </w:pPr>
    </w:p>
    <w:p w14:paraId="13ED5FEE" w14:textId="77777777" w:rsidR="00226BAC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 w:rsidRPr="009371BC">
        <w:rPr>
          <w:rFonts w:ascii="Times New Roman" w:hAnsi="Times New Roman"/>
          <w:lang w:val="ro-RO"/>
        </w:rPr>
        <w:t>Identificare</w:t>
      </w:r>
      <w:r>
        <w:rPr>
          <w:rFonts w:ascii="Times New Roman" w:hAnsi="Times New Roman"/>
          <w:lang w:val="ro-RO"/>
        </w:rPr>
        <w:t>a</w:t>
      </w:r>
      <w:r w:rsidRPr="009371BC">
        <w:rPr>
          <w:rFonts w:ascii="Times New Roman" w:hAnsi="Times New Roman"/>
          <w:lang w:val="ro-RO"/>
        </w:rPr>
        <w:t xml:space="preserve"> instrumentelor de desen</w:t>
      </w:r>
      <w:r>
        <w:rPr>
          <w:rFonts w:ascii="Times New Roman" w:hAnsi="Times New Roman"/>
          <w:lang w:val="ro-RO"/>
        </w:rPr>
        <w:t>;</w:t>
      </w:r>
    </w:p>
    <w:p w14:paraId="1485ED3A" w14:textId="77777777" w:rsidR="00226BAC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Pregătirea planşetei de desen;</w:t>
      </w:r>
    </w:p>
    <w:p w14:paraId="70EA93A6" w14:textId="77777777" w:rsidR="00226BAC" w:rsidRPr="00263685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Alegerea formatului planşei de desen;</w:t>
      </w:r>
    </w:p>
    <w:p w14:paraId="722F2F61" w14:textId="0C72FABF" w:rsidR="00226BAC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Reprezentarea la scara 1:50 a </w:t>
      </w:r>
      <w:r w:rsidR="004E0293">
        <w:rPr>
          <w:rFonts w:ascii="Times New Roman" w:hAnsi="Times New Roman"/>
          <w:lang w:val="ro-RO"/>
        </w:rPr>
        <w:t xml:space="preserve">detaliului </w:t>
      </w:r>
      <w:r>
        <w:rPr>
          <w:rFonts w:ascii="Times New Roman" w:hAnsi="Times New Roman"/>
          <w:lang w:val="ro-RO"/>
        </w:rPr>
        <w:t>secţiunii prin fundaţia din beton;</w:t>
      </w:r>
    </w:p>
    <w:p w14:paraId="1739819E" w14:textId="14EA4014" w:rsidR="00226BAC" w:rsidRPr="00263685" w:rsidRDefault="00226BAC" w:rsidP="00226BAC">
      <w:pPr>
        <w:pStyle w:val="ListParagraph"/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63685">
        <w:rPr>
          <w:rFonts w:ascii="Times New Roman" w:hAnsi="Times New Roman" w:cs="Times New Roman"/>
          <w:sz w:val="24"/>
          <w:szCs w:val="24"/>
        </w:rPr>
        <w:t>Completarea desenului cu reprezentările convenţionale corespunzătoare pentru materiale</w:t>
      </w:r>
      <w:r w:rsidR="00973633">
        <w:rPr>
          <w:rFonts w:ascii="Times New Roman" w:hAnsi="Times New Roman" w:cs="Times New Roman"/>
          <w:sz w:val="24"/>
          <w:szCs w:val="24"/>
        </w:rPr>
        <w:t>:</w:t>
      </w:r>
    </w:p>
    <w:p w14:paraId="142E5B19" w14:textId="77777777" w:rsidR="00226BAC" w:rsidRPr="00263685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 w:rsidRPr="00263685">
        <w:rPr>
          <w:rFonts w:ascii="Times New Roman" w:hAnsi="Times New Roman"/>
          <w:lang w:val="ro-RO"/>
        </w:rPr>
        <w:t>Cotarea şi scrierea STAS;</w:t>
      </w:r>
    </w:p>
    <w:p w14:paraId="5169999C" w14:textId="77777777" w:rsidR="00226BAC" w:rsidRPr="00263685" w:rsidRDefault="00226BAC" w:rsidP="00226BAC">
      <w:pPr>
        <w:pStyle w:val="BodyText"/>
        <w:numPr>
          <w:ilvl w:val="0"/>
          <w:numId w:val="3"/>
        </w:numPr>
        <w:jc w:val="left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Respectarea normelor de  securitate în laboratorul de desen.</w:t>
      </w:r>
    </w:p>
    <w:p w14:paraId="5B36D31B" w14:textId="77777777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</w:p>
    <w:p w14:paraId="614DA00D" w14:textId="77777777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</w:p>
    <w:p w14:paraId="12687FDD" w14:textId="77777777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</w:p>
    <w:p w14:paraId="220595A0" w14:textId="77777777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</w:p>
    <w:p w14:paraId="7A020C7A" w14:textId="4DFDF0A4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  <w:r>
        <w:rPr>
          <w:rFonts w:ascii="Arial" w:hAnsi="Arial" w:cs="Arial"/>
          <w:b/>
          <w:noProof/>
          <w:sz w:val="24"/>
          <w:szCs w:val="24"/>
          <w:lang w:val="ro-RO"/>
        </w:rPr>
        <w:t>GRILA DE EVALUARE</w:t>
      </w:r>
    </w:p>
    <w:p w14:paraId="3BA5AAE4" w14:textId="77777777" w:rsidR="00226BAC" w:rsidRDefault="00226BAC" w:rsidP="00226BAC">
      <w:pPr>
        <w:jc w:val="center"/>
        <w:rPr>
          <w:rFonts w:ascii="Arial" w:hAnsi="Arial" w:cs="Arial"/>
          <w:b/>
          <w:noProof/>
          <w:sz w:val="24"/>
          <w:szCs w:val="24"/>
          <w:lang w:val="ro-RO"/>
        </w:rPr>
      </w:pPr>
    </w:p>
    <w:p w14:paraId="5D99CF5B" w14:textId="77777777" w:rsidR="00226BAC" w:rsidRPr="00F77D6D" w:rsidRDefault="00226BAC" w:rsidP="00226BAC">
      <w:pPr>
        <w:rPr>
          <w:rFonts w:ascii="Arial" w:hAnsi="Arial" w:cs="Arial"/>
          <w:sz w:val="24"/>
          <w:szCs w:val="24"/>
          <w:lang w:val="ro-RO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226BAC" w:rsidRPr="00B45DC3" w14:paraId="3E1770E2" w14:textId="77777777" w:rsidTr="00D87154">
        <w:trPr>
          <w:trHeight w:val="20"/>
        </w:trPr>
        <w:tc>
          <w:tcPr>
            <w:tcW w:w="2405" w:type="dxa"/>
            <w:shd w:val="clear" w:color="auto" w:fill="D5DCE4" w:themeFill="text2" w:themeFillTint="33"/>
          </w:tcPr>
          <w:p w14:paraId="70B4D0CA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63BAC373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0EE90C8A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1D92C3FB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2275305A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04CCC112" w14:textId="77777777" w:rsidR="00226BAC" w:rsidRPr="00B45DC3" w:rsidRDefault="00226BAC" w:rsidP="003D6AE0">
            <w:pPr>
              <w:jc w:val="both"/>
              <w:rPr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b/>
                <w:bCs/>
                <w:sz w:val="24"/>
                <w:szCs w:val="24"/>
                <w:lang w:val="ro-RO"/>
              </w:rPr>
              <w:t>indicator</w:t>
            </w:r>
          </w:p>
        </w:tc>
      </w:tr>
      <w:tr w:rsidR="00226BAC" w:rsidRPr="00B45DC3" w14:paraId="52C11B3C" w14:textId="77777777" w:rsidTr="00D87154">
        <w:trPr>
          <w:trHeight w:val="20"/>
        </w:trPr>
        <w:tc>
          <w:tcPr>
            <w:tcW w:w="2405" w:type="dxa"/>
            <w:vMerge w:val="restart"/>
            <w:vAlign w:val="center"/>
          </w:tcPr>
          <w:p w14:paraId="2452616D" w14:textId="77777777" w:rsidR="00226BAC" w:rsidRPr="00F65BF8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0770457A" w14:textId="77777777" w:rsidR="00226BAC" w:rsidRPr="00F65BF8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7926199B" w14:textId="77777777" w:rsidR="00226BAC" w:rsidRPr="00B45DC3" w:rsidRDefault="00226BAC" w:rsidP="003D6AE0">
            <w:pPr>
              <w:spacing w:line="360" w:lineRule="auto"/>
              <w:rPr>
                <w:sz w:val="24"/>
                <w:szCs w:val="24"/>
                <w:lang w:val="ro-RO"/>
              </w:rPr>
            </w:pPr>
            <w:r w:rsidRPr="00F65BF8">
              <w:rPr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45B149AB" w14:textId="77777777" w:rsidR="00226BAC" w:rsidRPr="00A405AC" w:rsidRDefault="00226BAC" w:rsidP="003D6AE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11" w:type="dxa"/>
            <w:vAlign w:val="center"/>
          </w:tcPr>
          <w:p w14:paraId="3D63F06D" w14:textId="77777777" w:rsidR="00226BAC" w:rsidRPr="00EE298A" w:rsidRDefault="00226BAC" w:rsidP="003D6AE0">
            <w:pPr>
              <w:rPr>
                <w:sz w:val="24"/>
                <w:szCs w:val="24"/>
                <w:lang w:val="ro-RO"/>
              </w:rPr>
            </w:pPr>
            <w:r w:rsidRPr="00EE298A">
              <w:t xml:space="preserve">1.1. </w:t>
            </w:r>
            <w:r>
              <w:rPr>
                <w:sz w:val="24"/>
                <w:szCs w:val="24"/>
                <w:lang w:val="ro-RO"/>
              </w:rPr>
              <w:t>Pregătirea planşetei pentru desen</w:t>
            </w:r>
          </w:p>
        </w:tc>
        <w:tc>
          <w:tcPr>
            <w:tcW w:w="1366" w:type="dxa"/>
            <w:vAlign w:val="center"/>
          </w:tcPr>
          <w:p w14:paraId="3E0B4E21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  <w:lang w:val="ro-RO"/>
              </w:rPr>
              <w:t>5 p</w:t>
            </w:r>
          </w:p>
        </w:tc>
      </w:tr>
      <w:tr w:rsidR="00226BAC" w:rsidRPr="00B45DC3" w14:paraId="3DF0F681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553E9F11" w14:textId="77777777" w:rsidR="00226BAC" w:rsidRPr="00B45DC3" w:rsidRDefault="00226BAC" w:rsidP="003D6AE0">
            <w:pPr>
              <w:spacing w:line="360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E6939F2" w14:textId="77777777" w:rsidR="00226BAC" w:rsidRPr="00A405AC" w:rsidRDefault="00226BAC" w:rsidP="003D6AE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5E0F2E7" w14:textId="77777777" w:rsidR="00226BAC" w:rsidRPr="00EE298A" w:rsidRDefault="00226BAC" w:rsidP="003D6AE0">
            <w:pPr>
              <w:rPr>
                <w:sz w:val="24"/>
                <w:szCs w:val="24"/>
                <w:lang w:val="ro-RO"/>
              </w:rPr>
            </w:pPr>
            <w:r w:rsidRPr="00EE298A">
              <w:rPr>
                <w:sz w:val="24"/>
                <w:szCs w:val="24"/>
                <w:lang w:val="ro-RO"/>
              </w:rPr>
              <w:t>1.2.</w:t>
            </w:r>
            <w:r w:rsidRPr="00EE298A">
              <w:rPr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sz w:val="24"/>
                <w:szCs w:val="24"/>
              </w:rPr>
              <w:t>Alegerea</w:t>
            </w:r>
            <w:proofErr w:type="spellEnd"/>
            <w:r w:rsidRPr="00BD5947">
              <w:rPr>
                <w:sz w:val="24"/>
                <w:szCs w:val="24"/>
              </w:rPr>
              <w:t xml:space="preserve"> </w:t>
            </w:r>
            <w:proofErr w:type="spellStart"/>
            <w:r w:rsidRPr="00BD5947">
              <w:rPr>
                <w:sz w:val="24"/>
                <w:szCs w:val="24"/>
              </w:rPr>
              <w:t>corectă</w:t>
            </w:r>
            <w:proofErr w:type="spellEnd"/>
            <w:r w:rsidRPr="00BD5947">
              <w:rPr>
                <w:sz w:val="24"/>
                <w:szCs w:val="24"/>
              </w:rPr>
              <w:t xml:space="preserve"> </w:t>
            </w:r>
            <w:proofErr w:type="gramStart"/>
            <w:r w:rsidRPr="00BD5947">
              <w:rPr>
                <w:sz w:val="24"/>
                <w:szCs w:val="24"/>
              </w:rPr>
              <w:t xml:space="preserve">a  </w:t>
            </w:r>
            <w:proofErr w:type="spellStart"/>
            <w:r w:rsidRPr="00BD5947">
              <w:rPr>
                <w:sz w:val="24"/>
                <w:szCs w:val="24"/>
              </w:rPr>
              <w:t>instrumentelor</w:t>
            </w:r>
            <w:proofErr w:type="spellEnd"/>
            <w:proofErr w:type="gramEnd"/>
            <w:r w:rsidRPr="00BD5947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de </w:t>
            </w:r>
            <w:proofErr w:type="spellStart"/>
            <w:r>
              <w:rPr>
                <w:sz w:val="24"/>
                <w:szCs w:val="24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21D3304E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  <w:lang w:val="ro-RO"/>
              </w:rPr>
              <w:t>10 p</w:t>
            </w:r>
          </w:p>
        </w:tc>
      </w:tr>
      <w:tr w:rsidR="00226BAC" w:rsidRPr="00F65BF8" w14:paraId="492FCE66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602D885B" w14:textId="77777777" w:rsidR="00226BAC" w:rsidRPr="00B45DC3" w:rsidRDefault="00226BAC" w:rsidP="003D6AE0">
            <w:pPr>
              <w:spacing w:line="360" w:lineRule="auto"/>
              <w:rPr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4DD4EE90" w14:textId="77777777" w:rsidR="00226BAC" w:rsidRPr="00A405AC" w:rsidRDefault="00226BAC" w:rsidP="003D6AE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CD0EC8A" w14:textId="77777777" w:rsidR="00226BAC" w:rsidRPr="00C254B4" w:rsidRDefault="00226BAC" w:rsidP="003D6AE0">
            <w:pPr>
              <w:pStyle w:val="Defaul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lang w:val="ro-RO"/>
              </w:rPr>
              <w:t>1.3</w:t>
            </w:r>
            <w:r>
              <w:t xml:space="preserve"> </w:t>
            </w:r>
            <w:proofErr w:type="spellStart"/>
            <w:r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Alegerea</w:t>
            </w:r>
            <w:proofErr w:type="spellEnd"/>
            <w:r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 </w:t>
            </w:r>
            <w:proofErr w:type="spellStart"/>
            <w:r w:rsidRPr="00A3766B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formatului</w:t>
            </w:r>
            <w:proofErr w:type="spellEnd"/>
            <w:r>
              <w:t xml:space="preserve"> </w:t>
            </w:r>
            <w:proofErr w:type="spellStart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Fixarea</w:t>
            </w:r>
            <w:proofErr w:type="spellEnd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corectă</w:t>
            </w:r>
            <w:proofErr w:type="spellEnd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a</w:t>
            </w:r>
            <w:r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planşei</w:t>
            </w:r>
            <w:proofErr w:type="spellEnd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în</w:t>
            </w:r>
            <w:proofErr w:type="spellEnd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</w:t>
            </w:r>
            <w:proofErr w:type="spellStart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planşeta</w:t>
            </w:r>
            <w:proofErr w:type="spellEnd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 xml:space="preserve"> de </w:t>
            </w:r>
            <w:proofErr w:type="spellStart"/>
            <w:r w:rsidRPr="00D22BC2">
              <w:rPr>
                <w:rFonts w:ascii="Times New Roman" w:eastAsiaTheme="minorEastAsia" w:hAnsi="Times New Roman" w:cs="Times New Roman"/>
                <w:color w:val="auto"/>
                <w:lang w:val="en-US"/>
              </w:rPr>
              <w:t>desen</w:t>
            </w:r>
            <w:proofErr w:type="spellEnd"/>
          </w:p>
        </w:tc>
        <w:tc>
          <w:tcPr>
            <w:tcW w:w="1366" w:type="dxa"/>
            <w:vAlign w:val="center"/>
          </w:tcPr>
          <w:p w14:paraId="760F6F5A" w14:textId="77777777" w:rsidR="00226BAC" w:rsidRPr="00BD377D" w:rsidRDefault="00226BAC" w:rsidP="003D6AE0">
            <w:pPr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  <w:lang w:val="ro-RO"/>
              </w:rPr>
              <w:t>1</w:t>
            </w:r>
            <w:r>
              <w:rPr>
                <w:sz w:val="24"/>
                <w:szCs w:val="24"/>
                <w:lang w:val="ro-RO"/>
              </w:rPr>
              <w:t>5</w:t>
            </w:r>
            <w:r w:rsidRPr="00BD377D">
              <w:rPr>
                <w:sz w:val="24"/>
                <w:szCs w:val="24"/>
                <w:lang w:val="ro-RO"/>
              </w:rPr>
              <w:t xml:space="preserve"> p</w:t>
            </w:r>
          </w:p>
        </w:tc>
      </w:tr>
      <w:tr w:rsidR="00226BAC" w:rsidRPr="00B45DC3" w14:paraId="4E43F22D" w14:textId="77777777" w:rsidTr="00D87154">
        <w:trPr>
          <w:trHeight w:val="20"/>
        </w:trPr>
        <w:tc>
          <w:tcPr>
            <w:tcW w:w="2405" w:type="dxa"/>
            <w:vMerge w:val="restart"/>
            <w:vAlign w:val="center"/>
          </w:tcPr>
          <w:p w14:paraId="4A0DFEE3" w14:textId="77777777" w:rsidR="00226BAC" w:rsidRPr="00037DBB" w:rsidRDefault="00226BAC" w:rsidP="003D6AE0">
            <w:pPr>
              <w:tabs>
                <w:tab w:val="left" w:pos="459"/>
              </w:tabs>
              <w:spacing w:line="360" w:lineRule="auto"/>
              <w:ind w:right="744"/>
              <w:rPr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b/>
                <w:bCs/>
                <w:sz w:val="24"/>
                <w:szCs w:val="24"/>
              </w:rPr>
              <w:t>2.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Realizarea</w:t>
            </w:r>
            <w:proofErr w:type="spellEnd"/>
            <w:r w:rsidRPr="00037DB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15F83085" w14:textId="77777777" w:rsidR="00226BAC" w:rsidRPr="00A405AC" w:rsidRDefault="00226BAC" w:rsidP="003D6AE0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ro-RO"/>
              </w:rPr>
            </w:pPr>
            <w:r w:rsidRPr="00A405AC">
              <w:rPr>
                <w:b/>
                <w:bCs/>
                <w:sz w:val="24"/>
                <w:szCs w:val="24"/>
              </w:rPr>
              <w:t xml:space="preserve">50 </w:t>
            </w:r>
            <w:proofErr w:type="spellStart"/>
            <w:r w:rsidRPr="00A405AC">
              <w:rPr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</w:tcPr>
          <w:p w14:paraId="6D6A20ED" w14:textId="73E2C1CE" w:rsidR="00226BAC" w:rsidRPr="00523BEF" w:rsidRDefault="00226BAC" w:rsidP="003D6AE0">
            <w:pPr>
              <w:rPr>
                <w:sz w:val="24"/>
                <w:szCs w:val="24"/>
                <w:lang w:val="ro-RO"/>
              </w:rPr>
            </w:pPr>
            <w:r w:rsidRPr="00523BEF">
              <w:rPr>
                <w:sz w:val="24"/>
                <w:szCs w:val="24"/>
                <w:lang w:val="ro-RO"/>
              </w:rPr>
              <w:t>2.1.</w:t>
            </w:r>
            <w:r w:rsidR="00973633">
              <w:rPr>
                <w:sz w:val="24"/>
                <w:szCs w:val="24"/>
                <w:lang w:val="ro-RO"/>
              </w:rPr>
              <w:t xml:space="preserve"> Desenarea </w:t>
            </w:r>
            <w:r w:rsidR="004E0293">
              <w:rPr>
                <w:sz w:val="24"/>
                <w:szCs w:val="24"/>
                <w:lang w:val="ro-RO"/>
              </w:rPr>
              <w:t>detaliului la scra 1:50</w:t>
            </w:r>
          </w:p>
        </w:tc>
        <w:tc>
          <w:tcPr>
            <w:tcW w:w="1366" w:type="dxa"/>
            <w:vAlign w:val="center"/>
          </w:tcPr>
          <w:p w14:paraId="1B7E104C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</w:rPr>
              <w:t>10 p</w:t>
            </w:r>
          </w:p>
        </w:tc>
      </w:tr>
      <w:tr w:rsidR="00226BAC" w:rsidRPr="00B45DC3" w14:paraId="31FFD187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1FAE7587" w14:textId="77777777" w:rsidR="00226BAC" w:rsidRPr="00037DBB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02DF72F8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14A4D0A" w14:textId="082B21E2" w:rsidR="00226BAC" w:rsidRPr="00523BEF" w:rsidRDefault="00226BAC" w:rsidP="003D6AE0">
            <w:pPr>
              <w:rPr>
                <w:sz w:val="24"/>
                <w:szCs w:val="24"/>
                <w:lang w:val="ro-RO"/>
              </w:rPr>
            </w:pPr>
            <w:r w:rsidRPr="00523BEF">
              <w:rPr>
                <w:sz w:val="24"/>
                <w:szCs w:val="24"/>
                <w:lang w:val="ro-RO"/>
              </w:rPr>
              <w:t>2.2.</w:t>
            </w:r>
            <w:r w:rsidR="004E0293">
              <w:rPr>
                <w:sz w:val="24"/>
                <w:szCs w:val="24"/>
                <w:lang w:val="ro-RO"/>
              </w:rPr>
              <w:t xml:space="preserve"> Complatare corectă a desenului cu semnele conventionale corespunzătoare materialelor</w:t>
            </w:r>
          </w:p>
        </w:tc>
        <w:tc>
          <w:tcPr>
            <w:tcW w:w="1366" w:type="dxa"/>
            <w:vAlign w:val="center"/>
          </w:tcPr>
          <w:p w14:paraId="2A7A5446" w14:textId="092EAE1D" w:rsidR="00226BAC" w:rsidRPr="00BD377D" w:rsidRDefault="004E0293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>1</w:t>
            </w:r>
            <w:r w:rsidR="00D87154">
              <w:rPr>
                <w:sz w:val="24"/>
                <w:szCs w:val="24"/>
              </w:rPr>
              <w:t xml:space="preserve">5 </w:t>
            </w:r>
            <w:r w:rsidR="00226BAC" w:rsidRPr="00BD377D">
              <w:rPr>
                <w:sz w:val="24"/>
                <w:szCs w:val="24"/>
              </w:rPr>
              <w:t>p</w:t>
            </w:r>
          </w:p>
        </w:tc>
      </w:tr>
      <w:tr w:rsidR="00226BAC" w:rsidRPr="00B45DC3" w14:paraId="563E65DD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3E16088D" w14:textId="77777777" w:rsidR="00226BAC" w:rsidRPr="00037DBB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E52E143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C98B196" w14:textId="751542CC" w:rsidR="00226BAC" w:rsidRPr="00EE298A" w:rsidRDefault="00226BAC" w:rsidP="003D6A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>2.</w:t>
            </w:r>
            <w:proofErr w:type="gramStart"/>
            <w:r>
              <w:rPr>
                <w:sz w:val="24"/>
                <w:szCs w:val="24"/>
              </w:rPr>
              <w:t>3.</w:t>
            </w:r>
            <w:r w:rsidR="004E0293">
              <w:rPr>
                <w:sz w:val="24"/>
                <w:szCs w:val="24"/>
              </w:rPr>
              <w:t>Cotarea</w:t>
            </w:r>
            <w:proofErr w:type="gramEnd"/>
            <w:r w:rsidR="00D87154">
              <w:rPr>
                <w:sz w:val="24"/>
                <w:szCs w:val="24"/>
              </w:rPr>
              <w:t xml:space="preserve"> </w:t>
            </w:r>
            <w:proofErr w:type="spellStart"/>
            <w:r w:rsidR="00D87154">
              <w:rPr>
                <w:sz w:val="24"/>
                <w:szCs w:val="24"/>
              </w:rPr>
              <w:t>detaliului</w:t>
            </w:r>
            <w:proofErr w:type="spellEnd"/>
            <w:r w:rsidR="004E0293">
              <w:rPr>
                <w:sz w:val="24"/>
                <w:szCs w:val="24"/>
              </w:rPr>
              <w:t xml:space="preserve"> </w:t>
            </w:r>
            <w:proofErr w:type="spellStart"/>
            <w:r w:rsidR="004E0293">
              <w:rPr>
                <w:sz w:val="24"/>
                <w:szCs w:val="24"/>
              </w:rPr>
              <w:t>şi</w:t>
            </w:r>
            <w:proofErr w:type="spellEnd"/>
            <w:r w:rsidR="004E0293">
              <w:rPr>
                <w:sz w:val="24"/>
                <w:szCs w:val="24"/>
              </w:rPr>
              <w:t xml:space="preserve"> </w:t>
            </w:r>
            <w:proofErr w:type="spellStart"/>
            <w:r w:rsidR="004E0293">
              <w:rPr>
                <w:sz w:val="24"/>
                <w:szCs w:val="24"/>
              </w:rPr>
              <w:t>scrierea</w:t>
            </w:r>
            <w:proofErr w:type="spellEnd"/>
            <w:r w:rsidR="004E0293">
              <w:rPr>
                <w:sz w:val="24"/>
                <w:szCs w:val="24"/>
              </w:rPr>
              <w:t xml:space="preserve"> conform STAS</w:t>
            </w:r>
          </w:p>
        </w:tc>
        <w:tc>
          <w:tcPr>
            <w:tcW w:w="1366" w:type="dxa"/>
            <w:vAlign w:val="center"/>
          </w:tcPr>
          <w:p w14:paraId="08E1B737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</w:rPr>
              <w:t>10 p</w:t>
            </w:r>
          </w:p>
        </w:tc>
      </w:tr>
      <w:tr w:rsidR="00226BAC" w:rsidRPr="00B45DC3" w14:paraId="162B498F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32D6A18F" w14:textId="77777777" w:rsidR="00226BAC" w:rsidRPr="00037DBB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6F00AF5B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0854300C" w14:textId="00B5B18F" w:rsidR="00226BAC" w:rsidRPr="00EE298A" w:rsidRDefault="00226BAC" w:rsidP="003D6A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>2.</w:t>
            </w:r>
            <w:proofErr w:type="gramStart"/>
            <w:r>
              <w:rPr>
                <w:sz w:val="24"/>
                <w:szCs w:val="24"/>
              </w:rPr>
              <w:t>4.</w:t>
            </w:r>
            <w:r w:rsidR="00D87154">
              <w:rPr>
                <w:sz w:val="24"/>
                <w:szCs w:val="24"/>
              </w:rPr>
              <w:t>Utilizarea</w:t>
            </w:r>
            <w:proofErr w:type="gramEnd"/>
            <w:r w:rsidR="00D87154">
              <w:rPr>
                <w:sz w:val="24"/>
                <w:szCs w:val="24"/>
              </w:rPr>
              <w:t xml:space="preserve"> </w:t>
            </w:r>
            <w:proofErr w:type="spellStart"/>
            <w:r w:rsidR="00D87154">
              <w:rPr>
                <w:sz w:val="24"/>
                <w:szCs w:val="24"/>
              </w:rPr>
              <w:t>corectă</w:t>
            </w:r>
            <w:proofErr w:type="spellEnd"/>
            <w:r w:rsidR="00D87154">
              <w:rPr>
                <w:sz w:val="24"/>
                <w:szCs w:val="24"/>
              </w:rPr>
              <w:t xml:space="preserve"> a </w:t>
            </w:r>
            <w:proofErr w:type="spellStart"/>
            <w:r w:rsidR="00D87154">
              <w:rPr>
                <w:sz w:val="24"/>
                <w:szCs w:val="24"/>
              </w:rPr>
              <w:t>grosimilor</w:t>
            </w:r>
            <w:proofErr w:type="spellEnd"/>
            <w:r w:rsidR="00D87154">
              <w:rPr>
                <w:sz w:val="24"/>
                <w:szCs w:val="24"/>
              </w:rPr>
              <w:t xml:space="preserve"> de </w:t>
            </w:r>
            <w:proofErr w:type="spellStart"/>
            <w:r w:rsidR="00D87154">
              <w:rPr>
                <w:sz w:val="24"/>
                <w:szCs w:val="24"/>
              </w:rPr>
              <w:t>linii</w:t>
            </w:r>
            <w:proofErr w:type="spellEnd"/>
            <w:r w:rsidR="00D87154">
              <w:rPr>
                <w:sz w:val="24"/>
                <w:szCs w:val="24"/>
              </w:rPr>
              <w:t xml:space="preserve"> </w:t>
            </w:r>
            <w:proofErr w:type="spellStart"/>
            <w:r w:rsidR="00D87154">
              <w:rPr>
                <w:sz w:val="24"/>
                <w:szCs w:val="24"/>
              </w:rPr>
              <w:t>utilizate</w:t>
            </w:r>
            <w:proofErr w:type="spellEnd"/>
            <w:r w:rsidR="00D8715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20C3E4BF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</w:rPr>
              <w:t>5 p</w:t>
            </w:r>
          </w:p>
        </w:tc>
      </w:tr>
      <w:tr w:rsidR="00D87154" w:rsidRPr="00B45DC3" w14:paraId="0C023D4A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15B1A215" w14:textId="77777777" w:rsidR="00D87154" w:rsidRPr="00037DBB" w:rsidRDefault="00D87154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AA3BCC5" w14:textId="77777777" w:rsidR="00D87154" w:rsidRPr="00B45DC3" w:rsidRDefault="00D87154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568DB3CC" w14:textId="500FB0D5" w:rsidR="00D87154" w:rsidRPr="00EE298A" w:rsidRDefault="00D87154" w:rsidP="003D6A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2.5. Acurateţea desenului</w:t>
            </w:r>
          </w:p>
        </w:tc>
        <w:tc>
          <w:tcPr>
            <w:tcW w:w="1366" w:type="dxa"/>
            <w:vAlign w:val="center"/>
          </w:tcPr>
          <w:p w14:paraId="153777F9" w14:textId="2D4CE3D8" w:rsidR="00D87154" w:rsidRPr="00BD377D" w:rsidRDefault="00D87154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</w:rPr>
              <w:t>5</w:t>
            </w:r>
            <w:r w:rsidRPr="00BD377D">
              <w:rPr>
                <w:sz w:val="24"/>
                <w:szCs w:val="24"/>
              </w:rPr>
              <w:t xml:space="preserve"> p</w:t>
            </w:r>
          </w:p>
        </w:tc>
      </w:tr>
      <w:tr w:rsidR="00226BAC" w:rsidRPr="00FD1D1A" w14:paraId="39CEF35F" w14:textId="77777777" w:rsidTr="00D87154">
        <w:trPr>
          <w:trHeight w:val="20"/>
        </w:trPr>
        <w:tc>
          <w:tcPr>
            <w:tcW w:w="2405" w:type="dxa"/>
            <w:vMerge/>
            <w:vAlign w:val="center"/>
          </w:tcPr>
          <w:p w14:paraId="3D8FDA30" w14:textId="77777777" w:rsidR="00226BAC" w:rsidRPr="00037DBB" w:rsidRDefault="00226BAC" w:rsidP="003D6AE0">
            <w:pPr>
              <w:spacing w:line="360" w:lineRule="auto"/>
              <w:rPr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2B2472B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1C610D65" w14:textId="77777777" w:rsidR="00226BAC" w:rsidRPr="00C254B4" w:rsidRDefault="00226BAC" w:rsidP="003D6AE0">
            <w:pPr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2.6.</w:t>
            </w:r>
            <w:r>
              <w:t xml:space="preserve"> </w:t>
            </w:r>
            <w:r w:rsidRPr="00C254B4">
              <w:rPr>
                <w:sz w:val="24"/>
                <w:szCs w:val="24"/>
                <w:lang w:val="ro-RO"/>
              </w:rPr>
              <w:t>Respectarea normelor de sănătate și</w:t>
            </w:r>
          </w:p>
          <w:p w14:paraId="524BAE30" w14:textId="77777777" w:rsidR="00226BAC" w:rsidRDefault="00226BAC" w:rsidP="003D6AE0">
            <w:pPr>
              <w:rPr>
                <w:sz w:val="24"/>
                <w:szCs w:val="24"/>
                <w:lang w:val="ro-RO"/>
              </w:rPr>
            </w:pPr>
            <w:r w:rsidRPr="00C254B4">
              <w:rPr>
                <w:sz w:val="24"/>
                <w:szCs w:val="24"/>
                <w:lang w:val="ro-RO"/>
              </w:rPr>
              <w:t xml:space="preserve">securitate în </w:t>
            </w:r>
            <w:r>
              <w:rPr>
                <w:sz w:val="24"/>
                <w:szCs w:val="24"/>
                <w:lang w:val="ro-RO"/>
              </w:rPr>
              <w:t>laboratorul de desen</w:t>
            </w:r>
          </w:p>
        </w:tc>
        <w:tc>
          <w:tcPr>
            <w:tcW w:w="1366" w:type="dxa"/>
            <w:vAlign w:val="center"/>
          </w:tcPr>
          <w:p w14:paraId="3C6640C1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D377D">
              <w:rPr>
                <w:sz w:val="24"/>
                <w:szCs w:val="24"/>
              </w:rPr>
              <w:t>5 p</w:t>
            </w:r>
          </w:p>
        </w:tc>
      </w:tr>
      <w:tr w:rsidR="00226BAC" w:rsidRPr="003E5BDC" w14:paraId="472AD719" w14:textId="77777777" w:rsidTr="00D87154">
        <w:trPr>
          <w:trHeight w:val="20"/>
        </w:trPr>
        <w:tc>
          <w:tcPr>
            <w:tcW w:w="2405" w:type="dxa"/>
            <w:vMerge w:val="restart"/>
            <w:vAlign w:val="center"/>
          </w:tcPr>
          <w:p w14:paraId="535B5362" w14:textId="77777777" w:rsidR="00226BAC" w:rsidRPr="00037DBB" w:rsidRDefault="00226BAC" w:rsidP="003D6AE0">
            <w:pPr>
              <w:spacing w:line="360" w:lineRule="auto"/>
              <w:ind w:right="603"/>
              <w:rPr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Prezentarea</w:t>
            </w:r>
            <w:proofErr w:type="spellEnd"/>
            <w:r w:rsidRPr="00037DB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719AC891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D14B51">
              <w:rPr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11" w:type="dxa"/>
            <w:vAlign w:val="center"/>
          </w:tcPr>
          <w:p w14:paraId="5A0D4714" w14:textId="77777777" w:rsidR="00226BAC" w:rsidRPr="00037DBB" w:rsidRDefault="00226BAC" w:rsidP="003D6AE0">
            <w:pPr>
              <w:rPr>
                <w:sz w:val="24"/>
                <w:szCs w:val="24"/>
              </w:rPr>
            </w:pPr>
            <w:r w:rsidRPr="00037DBB">
              <w:rPr>
                <w:sz w:val="24"/>
                <w:szCs w:val="24"/>
              </w:rPr>
              <w:t>3.</w:t>
            </w:r>
            <w:proofErr w:type="gramStart"/>
            <w:r w:rsidRPr="00037DBB">
              <w:rPr>
                <w:sz w:val="24"/>
                <w:szCs w:val="24"/>
              </w:rPr>
              <w:t>1.</w:t>
            </w:r>
            <w:r w:rsidRPr="00037DBB">
              <w:rPr>
                <w:color w:val="000000" w:themeColor="text1"/>
                <w:sz w:val="24"/>
                <w:szCs w:val="24"/>
                <w:lang w:val="ro-RO"/>
              </w:rPr>
              <w:t>Capacitatea</w:t>
            </w:r>
            <w:proofErr w:type="gramEnd"/>
            <w:r w:rsidRPr="00037DBB">
              <w:rPr>
                <w:color w:val="000000" w:themeColor="text1"/>
                <w:sz w:val="24"/>
                <w:szCs w:val="24"/>
                <w:lang w:val="ro-RO"/>
              </w:rPr>
              <w:t xml:space="preserve"> de a-şi asuma responsabilităţi şi de a rezolva cu succes sarcinile primite</w:t>
            </w:r>
          </w:p>
        </w:tc>
        <w:tc>
          <w:tcPr>
            <w:tcW w:w="1366" w:type="dxa"/>
            <w:vAlign w:val="center"/>
          </w:tcPr>
          <w:p w14:paraId="4A6CB364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</w:rPr>
              <w:t>10 p</w:t>
            </w:r>
          </w:p>
        </w:tc>
      </w:tr>
      <w:tr w:rsidR="00226BAC" w:rsidRPr="003E5BDC" w14:paraId="10551E8B" w14:textId="77777777" w:rsidTr="00D87154">
        <w:trPr>
          <w:trHeight w:val="20"/>
        </w:trPr>
        <w:tc>
          <w:tcPr>
            <w:tcW w:w="2405" w:type="dxa"/>
            <w:vMerge/>
          </w:tcPr>
          <w:p w14:paraId="518AB6C5" w14:textId="77777777" w:rsidR="00226BAC" w:rsidRPr="00B45DC3" w:rsidRDefault="00226BAC" w:rsidP="003D6AE0">
            <w:pPr>
              <w:spacing w:line="360" w:lineRule="auto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1285" w:type="dxa"/>
            <w:vMerge/>
            <w:vAlign w:val="center"/>
          </w:tcPr>
          <w:p w14:paraId="5192717E" w14:textId="77777777" w:rsidR="00226BAC" w:rsidRPr="00B45DC3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4111" w:type="dxa"/>
            <w:vAlign w:val="center"/>
          </w:tcPr>
          <w:p w14:paraId="7A18C503" w14:textId="77777777" w:rsidR="00226BAC" w:rsidRPr="00037DBB" w:rsidRDefault="00226BAC" w:rsidP="003D6AE0">
            <w:pPr>
              <w:rPr>
                <w:sz w:val="24"/>
                <w:szCs w:val="24"/>
                <w:lang w:val="ro-RO"/>
              </w:rPr>
            </w:pPr>
            <w:r w:rsidRPr="00037DBB">
              <w:rPr>
                <w:sz w:val="24"/>
                <w:szCs w:val="24"/>
              </w:rPr>
              <w:t xml:space="preserve">3.2. </w:t>
            </w:r>
            <w:proofErr w:type="spellStart"/>
            <w:r w:rsidRPr="0053593F">
              <w:rPr>
                <w:color w:val="000000"/>
                <w:sz w:val="24"/>
                <w:szCs w:val="24"/>
              </w:rPr>
              <w:t>Utilizarea</w:t>
            </w:r>
            <w:proofErr w:type="spellEnd"/>
            <w:r w:rsidRPr="0053593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3593F">
              <w:rPr>
                <w:color w:val="000000"/>
                <w:sz w:val="24"/>
                <w:szCs w:val="24"/>
              </w:rPr>
              <w:t>corectă</w:t>
            </w:r>
            <w:proofErr w:type="spellEnd"/>
            <w:r w:rsidRPr="0053593F">
              <w:rPr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53593F">
              <w:rPr>
                <w:color w:val="000000"/>
                <w:sz w:val="24"/>
                <w:szCs w:val="24"/>
              </w:rPr>
              <w:t>terminologiei</w:t>
            </w:r>
            <w:proofErr w:type="spellEnd"/>
            <w:r w:rsidRPr="0053593F">
              <w:rPr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53593F">
              <w:rPr>
                <w:color w:val="000000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366" w:type="dxa"/>
            <w:vAlign w:val="center"/>
          </w:tcPr>
          <w:p w14:paraId="234B06EB" w14:textId="77777777" w:rsidR="00226BAC" w:rsidRPr="00BD377D" w:rsidRDefault="00226BAC" w:rsidP="003D6AE0">
            <w:pPr>
              <w:spacing w:line="360" w:lineRule="auto"/>
              <w:jc w:val="center"/>
              <w:rPr>
                <w:sz w:val="24"/>
                <w:szCs w:val="24"/>
                <w:lang w:val="ro-RO"/>
              </w:rPr>
            </w:pPr>
            <w:r w:rsidRPr="00BD377D">
              <w:rPr>
                <w:sz w:val="24"/>
                <w:szCs w:val="24"/>
                <w:lang w:val="ro-RO"/>
              </w:rPr>
              <w:t>5 p</w:t>
            </w:r>
          </w:p>
        </w:tc>
      </w:tr>
    </w:tbl>
    <w:p w14:paraId="2C8184AD" w14:textId="77777777" w:rsidR="00226BAC" w:rsidRDefault="00226BAC" w:rsidP="00226BAC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7FCBB3F1" w14:textId="77777777" w:rsidR="00226BAC" w:rsidRDefault="00226BAC" w:rsidP="00226BAC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44C30F40" w14:textId="77777777" w:rsidR="00226BAC" w:rsidRDefault="00226BAC" w:rsidP="00226BAC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p w14:paraId="0A2CD6E8" w14:textId="77777777" w:rsidR="00226BAC" w:rsidRDefault="00226BAC" w:rsidP="00226BAC">
      <w:pPr>
        <w:jc w:val="center"/>
        <w:rPr>
          <w:rFonts w:ascii="Arial" w:hAnsi="Arial" w:cs="Arial"/>
          <w:b/>
          <w:color w:val="000000" w:themeColor="text1"/>
          <w:sz w:val="24"/>
          <w:szCs w:val="24"/>
          <w:lang w:val="ro-RO"/>
        </w:rPr>
      </w:pPr>
    </w:p>
    <w:sectPr w:rsidR="00226B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F4AA2"/>
    <w:multiLevelType w:val="hybridMultilevel"/>
    <w:tmpl w:val="D1B0F300"/>
    <w:lvl w:ilvl="0" w:tplc="04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050A2"/>
    <w:multiLevelType w:val="hybridMultilevel"/>
    <w:tmpl w:val="36CCB33C"/>
    <w:lvl w:ilvl="0" w:tplc="FA4CE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704A3"/>
    <w:multiLevelType w:val="hybridMultilevel"/>
    <w:tmpl w:val="902EBF8A"/>
    <w:lvl w:ilvl="0" w:tplc="4BCE96E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41033"/>
    <w:multiLevelType w:val="hybridMultilevel"/>
    <w:tmpl w:val="59EAC332"/>
    <w:lvl w:ilvl="0" w:tplc="8B548E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4052920">
    <w:abstractNumId w:val="0"/>
  </w:num>
  <w:num w:numId="2" w16cid:durableId="1257248454">
    <w:abstractNumId w:val="3"/>
  </w:num>
  <w:num w:numId="3" w16cid:durableId="1604071232">
    <w:abstractNumId w:val="2"/>
  </w:num>
  <w:num w:numId="4" w16cid:durableId="170768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DA"/>
    <w:rsid w:val="001755DB"/>
    <w:rsid w:val="00226BAC"/>
    <w:rsid w:val="0047224F"/>
    <w:rsid w:val="004E0293"/>
    <w:rsid w:val="004E199C"/>
    <w:rsid w:val="00591731"/>
    <w:rsid w:val="007C64DA"/>
    <w:rsid w:val="00853BFC"/>
    <w:rsid w:val="00973633"/>
    <w:rsid w:val="00C63660"/>
    <w:rsid w:val="00D87154"/>
    <w:rsid w:val="00F0673B"/>
    <w:rsid w:val="00F4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06AA9"/>
  <w15:chartTrackingRefBased/>
  <w15:docId w15:val="{D2F1FDE4-5488-4E9B-9260-5029E769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EAD"/>
    <w:pPr>
      <w:spacing w:after="200" w:line="276" w:lineRule="auto"/>
      <w:ind w:left="720"/>
    </w:pPr>
    <w:rPr>
      <w:rFonts w:ascii="Calibri" w:hAnsi="Calibri" w:cs="Calibri"/>
      <w:sz w:val="22"/>
      <w:szCs w:val="22"/>
      <w:lang w:val="ro-RO" w:eastAsia="en-US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4E199C"/>
    <w:rPr>
      <w:rFonts w:ascii="Courier New" w:hAnsi="Courier New" w:cs="Courier New"/>
      <w:noProof/>
      <w:lang w:val="ro-RO" w:eastAsia="en-US"/>
    </w:rPr>
  </w:style>
  <w:style w:type="character" w:customStyle="1" w:styleId="PlainTextChar">
    <w:name w:val="Plain Text Char"/>
    <w:basedOn w:val="DefaultParagraphFont"/>
    <w:uiPriority w:val="99"/>
    <w:semiHidden/>
    <w:rsid w:val="004E199C"/>
    <w:rPr>
      <w:rFonts w:ascii="Consolas" w:eastAsia="Times New Roman" w:hAnsi="Consolas" w:cs="Times New Roman"/>
      <w:sz w:val="21"/>
      <w:szCs w:val="21"/>
      <w:lang w:val="en-US" w:eastAsia="ro-RO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4E199C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rsid w:val="004E199C"/>
    <w:pPr>
      <w:jc w:val="center"/>
    </w:pPr>
    <w:rPr>
      <w:rFonts w:ascii="Calibri" w:hAnsi="Calibri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E199C"/>
    <w:rPr>
      <w:rFonts w:ascii="Calibri" w:eastAsia="Times New Roman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4E1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E199C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5</cp:revision>
  <dcterms:created xsi:type="dcterms:W3CDTF">2022-05-21T05:19:00Z</dcterms:created>
  <dcterms:modified xsi:type="dcterms:W3CDTF">2022-05-26T15:05:00Z</dcterms:modified>
</cp:coreProperties>
</file>