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77B" w:rsidRDefault="003A477B">
      <w:pPr>
        <w:rPr>
          <w:lang w:val="ro-RO"/>
        </w:rPr>
      </w:pPr>
    </w:p>
    <w:tbl>
      <w:tblPr>
        <w:tblStyle w:val="TableGrid"/>
        <w:tblpPr w:leftFromText="180" w:rightFromText="180" w:horzAnchor="margin" w:tblpY="765"/>
        <w:tblW w:w="5000" w:type="pct"/>
        <w:tblLook w:val="04A0" w:firstRow="1" w:lastRow="0" w:firstColumn="1" w:lastColumn="0" w:noHBand="0" w:noVBand="1"/>
      </w:tblPr>
      <w:tblGrid>
        <w:gridCol w:w="2898"/>
        <w:gridCol w:w="6678"/>
      </w:tblGrid>
      <w:tr w:rsidR="008441D3" w:rsidRPr="00A5602E" w:rsidTr="00B20CAA">
        <w:tc>
          <w:tcPr>
            <w:tcW w:w="1513" w:type="pct"/>
          </w:tcPr>
          <w:p w:rsidR="008441D3" w:rsidRPr="00A5602E" w:rsidRDefault="008441D3" w:rsidP="00B20CAA">
            <w:pPr>
              <w:jc w:val="both"/>
              <w:rPr>
                <w:rFonts w:ascii="Arial" w:eastAsiaTheme="minorEastAsia" w:hAnsi="Arial" w:cs="Arial"/>
                <w:b/>
              </w:rPr>
            </w:pPr>
            <w:proofErr w:type="spellStart"/>
            <w:r w:rsidRPr="00A5602E">
              <w:rPr>
                <w:rFonts w:ascii="Arial" w:eastAsiaTheme="minorEastAsia" w:hAnsi="Arial" w:cs="Arial"/>
                <w:b/>
              </w:rPr>
              <w:t>Domeniul</w:t>
            </w:r>
            <w:proofErr w:type="spellEnd"/>
            <w:r w:rsidRPr="00A5602E">
              <w:rPr>
                <w:rFonts w:ascii="Arial" w:eastAsiaTheme="minorEastAsia" w:hAnsi="Arial" w:cs="Arial"/>
                <w:b/>
              </w:rPr>
              <w:t xml:space="preserve"> de </w:t>
            </w:r>
            <w:proofErr w:type="spellStart"/>
            <w:r w:rsidRPr="00A5602E">
              <w:rPr>
                <w:rFonts w:ascii="Arial" w:eastAsiaTheme="minorEastAsia" w:hAnsi="Arial" w:cs="Arial"/>
                <w:b/>
              </w:rPr>
              <w:t>pregătire</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profesională</w:t>
            </w:r>
            <w:proofErr w:type="spellEnd"/>
          </w:p>
        </w:tc>
        <w:tc>
          <w:tcPr>
            <w:tcW w:w="3487" w:type="pct"/>
          </w:tcPr>
          <w:p w:rsidR="008441D3" w:rsidRPr="00A5602E" w:rsidRDefault="008441D3" w:rsidP="007D14BC">
            <w:pPr>
              <w:jc w:val="both"/>
              <w:rPr>
                <w:rFonts w:ascii="Arial" w:eastAsiaTheme="minorEastAsia" w:hAnsi="Arial" w:cs="Arial"/>
                <w:b/>
                <w:color w:val="C00000"/>
              </w:rPr>
            </w:pPr>
            <w:r w:rsidRPr="00A5602E">
              <w:rPr>
                <w:rFonts w:ascii="Arial" w:eastAsiaTheme="minorEastAsia" w:hAnsi="Arial" w:cs="Arial"/>
                <w:b/>
              </w:rPr>
              <w:t xml:space="preserve">Economic </w:t>
            </w:r>
          </w:p>
        </w:tc>
      </w:tr>
      <w:tr w:rsidR="008441D3" w:rsidRPr="00A5602E" w:rsidTr="00B20CAA">
        <w:tc>
          <w:tcPr>
            <w:tcW w:w="1513" w:type="pct"/>
          </w:tcPr>
          <w:p w:rsidR="008441D3" w:rsidRPr="00A5602E" w:rsidRDefault="008441D3" w:rsidP="00B20CAA">
            <w:pPr>
              <w:jc w:val="both"/>
              <w:rPr>
                <w:rFonts w:ascii="Arial" w:eastAsiaTheme="minorEastAsia" w:hAnsi="Arial" w:cs="Arial"/>
                <w:b/>
              </w:rPr>
            </w:pPr>
            <w:proofErr w:type="spellStart"/>
            <w:r w:rsidRPr="00A5602E">
              <w:rPr>
                <w:rFonts w:ascii="Arial" w:eastAsiaTheme="minorEastAsia" w:hAnsi="Arial" w:cs="Arial"/>
                <w:b/>
              </w:rPr>
              <w:t>Calificarea</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profesională</w:t>
            </w:r>
            <w:proofErr w:type="spellEnd"/>
          </w:p>
        </w:tc>
        <w:tc>
          <w:tcPr>
            <w:tcW w:w="3487" w:type="pct"/>
          </w:tcPr>
          <w:p w:rsidR="008441D3" w:rsidRPr="00A5602E" w:rsidRDefault="008441D3" w:rsidP="00701604">
            <w:pPr>
              <w:jc w:val="both"/>
              <w:rPr>
                <w:rFonts w:ascii="Arial" w:eastAsiaTheme="minorEastAsia" w:hAnsi="Arial" w:cs="Arial"/>
                <w:b/>
                <w:color w:val="C00000"/>
              </w:rPr>
            </w:pPr>
            <w:proofErr w:type="spellStart"/>
            <w:r w:rsidRPr="00A5602E">
              <w:rPr>
                <w:rFonts w:ascii="Arial" w:eastAsiaTheme="minorEastAsia" w:hAnsi="Arial" w:cs="Arial"/>
                <w:b/>
              </w:rPr>
              <w:t>Tehnician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în</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activități</w:t>
            </w:r>
            <w:proofErr w:type="spellEnd"/>
            <w:r w:rsidRPr="00A5602E">
              <w:rPr>
                <w:rFonts w:ascii="Arial" w:eastAsiaTheme="minorEastAsia" w:hAnsi="Arial" w:cs="Arial"/>
                <w:b/>
              </w:rPr>
              <w:t xml:space="preserve"> </w:t>
            </w:r>
            <w:proofErr w:type="spellStart"/>
            <w:r w:rsidRPr="00A5602E">
              <w:rPr>
                <w:rFonts w:ascii="Arial" w:eastAsiaTheme="minorEastAsia" w:hAnsi="Arial" w:cs="Arial"/>
                <w:b/>
              </w:rPr>
              <w:t>economice</w:t>
            </w:r>
            <w:bookmarkStart w:id="0" w:name="_GoBack"/>
            <w:bookmarkEnd w:id="0"/>
            <w:proofErr w:type="spellEnd"/>
            <w:r w:rsidRPr="00A5602E">
              <w:rPr>
                <w:rFonts w:ascii="Arial" w:eastAsiaTheme="minorEastAsia" w:hAnsi="Arial" w:cs="Arial"/>
                <w:b/>
              </w:rPr>
              <w:t xml:space="preserve"> </w:t>
            </w:r>
          </w:p>
        </w:tc>
      </w:tr>
      <w:tr w:rsidR="008441D3" w:rsidRPr="00A5602E" w:rsidTr="00B20CAA">
        <w:tc>
          <w:tcPr>
            <w:tcW w:w="1513" w:type="pct"/>
          </w:tcPr>
          <w:p w:rsidR="008441D3" w:rsidRPr="00A5602E" w:rsidRDefault="008441D3" w:rsidP="00B20CAA">
            <w:pPr>
              <w:jc w:val="both"/>
              <w:rPr>
                <w:rFonts w:ascii="Arial" w:eastAsiaTheme="minorEastAsia" w:hAnsi="Arial" w:cs="Arial"/>
                <w:b/>
              </w:rPr>
            </w:pPr>
            <w:r w:rsidRPr="00A5602E">
              <w:rPr>
                <w:rFonts w:ascii="Arial" w:eastAsiaTheme="minorEastAsia" w:hAnsi="Arial" w:cs="Arial"/>
                <w:b/>
                <w:lang w:val="it-IT"/>
              </w:rPr>
              <w:t>Modul</w:t>
            </w:r>
          </w:p>
        </w:tc>
        <w:tc>
          <w:tcPr>
            <w:tcW w:w="3487" w:type="pct"/>
          </w:tcPr>
          <w:p w:rsidR="008441D3" w:rsidRPr="00A5602E" w:rsidRDefault="008441D3" w:rsidP="00B20CAA">
            <w:pPr>
              <w:jc w:val="both"/>
              <w:rPr>
                <w:rFonts w:ascii="Arial" w:eastAsiaTheme="minorEastAsia" w:hAnsi="Arial" w:cs="Arial"/>
                <w:b/>
                <w:color w:val="C00000"/>
              </w:rPr>
            </w:pPr>
            <w:proofErr w:type="spellStart"/>
            <w:r>
              <w:rPr>
                <w:rFonts w:ascii="Arial" w:eastAsiaTheme="minorEastAsia" w:hAnsi="Arial" w:cs="Arial"/>
                <w:b/>
              </w:rPr>
              <w:t>Contabilitate</w:t>
            </w:r>
            <w:proofErr w:type="spellEnd"/>
          </w:p>
        </w:tc>
      </w:tr>
      <w:tr w:rsidR="008441D3" w:rsidRPr="00A5602E" w:rsidTr="00B20CAA">
        <w:tc>
          <w:tcPr>
            <w:tcW w:w="1513" w:type="pct"/>
          </w:tcPr>
          <w:p w:rsidR="008441D3" w:rsidRPr="00A5602E" w:rsidRDefault="008441D3" w:rsidP="00B20CAA">
            <w:pPr>
              <w:jc w:val="both"/>
              <w:rPr>
                <w:rFonts w:ascii="Arial" w:eastAsiaTheme="minorEastAsia" w:hAnsi="Arial" w:cs="Arial"/>
                <w:b/>
              </w:rPr>
            </w:pPr>
            <w:proofErr w:type="spellStart"/>
            <w:r w:rsidRPr="00A5602E">
              <w:rPr>
                <w:rFonts w:ascii="Arial" w:eastAsiaTheme="minorEastAsia" w:hAnsi="Arial" w:cs="Arial"/>
                <w:b/>
              </w:rPr>
              <w:t>Clasa</w:t>
            </w:r>
            <w:proofErr w:type="spellEnd"/>
          </w:p>
        </w:tc>
        <w:tc>
          <w:tcPr>
            <w:tcW w:w="3487" w:type="pct"/>
          </w:tcPr>
          <w:p w:rsidR="008441D3" w:rsidRPr="00A5602E" w:rsidRDefault="008441D3" w:rsidP="00B20CAA">
            <w:pPr>
              <w:jc w:val="both"/>
              <w:rPr>
                <w:rFonts w:ascii="Arial" w:eastAsiaTheme="minorEastAsia" w:hAnsi="Arial" w:cs="Arial"/>
                <w:b/>
                <w:color w:val="C00000"/>
              </w:rPr>
            </w:pPr>
            <w:r>
              <w:rPr>
                <w:rFonts w:ascii="Arial" w:eastAsiaTheme="minorEastAsia" w:hAnsi="Arial" w:cs="Arial"/>
                <w:b/>
              </w:rPr>
              <w:t xml:space="preserve">a </w:t>
            </w:r>
            <w:r w:rsidRPr="00A5602E">
              <w:rPr>
                <w:rFonts w:ascii="Arial" w:eastAsiaTheme="minorEastAsia" w:hAnsi="Arial" w:cs="Arial"/>
                <w:b/>
              </w:rPr>
              <w:t>X</w:t>
            </w:r>
            <w:r>
              <w:rPr>
                <w:rFonts w:ascii="Arial" w:eastAsiaTheme="minorEastAsia" w:hAnsi="Arial" w:cs="Arial"/>
                <w:b/>
              </w:rPr>
              <w:t xml:space="preserve">I </w:t>
            </w:r>
            <w:r w:rsidRPr="00A5602E">
              <w:rPr>
                <w:rFonts w:ascii="Arial" w:eastAsiaTheme="minorEastAsia" w:hAnsi="Arial" w:cs="Arial"/>
                <w:b/>
              </w:rPr>
              <w:t>-a</w:t>
            </w:r>
          </w:p>
        </w:tc>
      </w:tr>
    </w:tbl>
    <w:p w:rsidR="008441D3" w:rsidRDefault="008441D3">
      <w:pPr>
        <w:rPr>
          <w:lang w:val="ro-RO"/>
        </w:rPr>
      </w:pPr>
    </w:p>
    <w:p w:rsidR="008441D3" w:rsidRDefault="008441D3">
      <w:pPr>
        <w:rPr>
          <w:lang w:val="ro-RO"/>
        </w:rPr>
      </w:pPr>
    </w:p>
    <w:p w:rsidR="008441D3" w:rsidRDefault="008441D3">
      <w:pPr>
        <w:rPr>
          <w:lang w:val="ro-RO"/>
        </w:rPr>
      </w:pPr>
    </w:p>
    <w:p w:rsidR="008441D3" w:rsidRDefault="008441D3">
      <w:pPr>
        <w:rPr>
          <w:lang w:val="ro-RO"/>
        </w:rPr>
      </w:pPr>
    </w:p>
    <w:p w:rsidR="008441D3" w:rsidRPr="008441D3" w:rsidRDefault="008441D3" w:rsidP="008441D3">
      <w:pPr>
        <w:pStyle w:val="ListParagraph"/>
        <w:numPr>
          <w:ilvl w:val="0"/>
          <w:numId w:val="7"/>
        </w:numPr>
        <w:autoSpaceDE w:val="0"/>
        <w:autoSpaceDN w:val="0"/>
        <w:adjustRightInd w:val="0"/>
        <w:jc w:val="both"/>
        <w:rPr>
          <w:rFonts w:ascii="Arial" w:hAnsi="Arial" w:cs="Arial"/>
          <w:sz w:val="22"/>
          <w:szCs w:val="22"/>
        </w:rPr>
      </w:pPr>
      <w:r w:rsidRPr="008441D3">
        <w:rPr>
          <w:rFonts w:ascii="Arial" w:hAnsi="Arial" w:cs="Arial"/>
          <w:sz w:val="22"/>
          <w:szCs w:val="22"/>
        </w:rPr>
        <w:t>Realizaţi un eseu cu tema „</w:t>
      </w:r>
      <w:r w:rsidRPr="008441D3">
        <w:rPr>
          <w:rFonts w:ascii="Arial" w:hAnsi="Arial" w:cs="Arial"/>
          <w:i/>
          <w:sz w:val="22"/>
          <w:szCs w:val="22"/>
        </w:rPr>
        <w:t>Contabilitatea stocurilor de materii prime</w:t>
      </w:r>
      <w:r w:rsidRPr="008441D3">
        <w:rPr>
          <w:rFonts w:ascii="Arial" w:hAnsi="Arial" w:cs="Arial"/>
          <w:sz w:val="22"/>
          <w:szCs w:val="22"/>
        </w:rPr>
        <w:t>”, după următoarea structura de idei:</w:t>
      </w:r>
    </w:p>
    <w:p w:rsidR="008441D3" w:rsidRPr="008441D3" w:rsidRDefault="008441D3" w:rsidP="008441D3">
      <w:pPr>
        <w:numPr>
          <w:ilvl w:val="0"/>
          <w:numId w:val="1"/>
        </w:numPr>
        <w:jc w:val="both"/>
        <w:rPr>
          <w:rFonts w:ascii="Arial" w:hAnsi="Arial" w:cs="Arial"/>
          <w:sz w:val="22"/>
          <w:szCs w:val="22"/>
          <w:lang w:val="ro-RO"/>
        </w:rPr>
      </w:pPr>
      <w:r w:rsidRPr="008441D3">
        <w:rPr>
          <w:rFonts w:ascii="Arial" w:hAnsi="Arial" w:cs="Arial"/>
          <w:sz w:val="22"/>
          <w:szCs w:val="22"/>
          <w:lang w:val="ro-RO"/>
        </w:rPr>
        <w:t>Definirea stocurilor de materii prime;</w:t>
      </w:r>
    </w:p>
    <w:p w:rsidR="008441D3" w:rsidRPr="008441D3" w:rsidRDefault="008441D3" w:rsidP="008441D3">
      <w:pPr>
        <w:numPr>
          <w:ilvl w:val="0"/>
          <w:numId w:val="1"/>
        </w:numPr>
        <w:jc w:val="both"/>
        <w:rPr>
          <w:rFonts w:ascii="Arial" w:hAnsi="Arial" w:cs="Arial"/>
          <w:sz w:val="22"/>
          <w:szCs w:val="22"/>
          <w:lang w:val="ro-RO"/>
        </w:rPr>
      </w:pPr>
      <w:r w:rsidRPr="008441D3">
        <w:rPr>
          <w:rFonts w:ascii="Arial" w:hAnsi="Arial" w:cs="Arial"/>
          <w:sz w:val="22"/>
          <w:szCs w:val="22"/>
          <w:lang w:val="ro-RO"/>
        </w:rPr>
        <w:t>Precizarea categoriei din care fac parte stocurile de materii prime în funcţie de sursa de provenienţă;</w:t>
      </w:r>
    </w:p>
    <w:p w:rsidR="008441D3" w:rsidRPr="008441D3" w:rsidRDefault="008441D3" w:rsidP="008441D3">
      <w:pPr>
        <w:numPr>
          <w:ilvl w:val="0"/>
          <w:numId w:val="1"/>
        </w:numPr>
        <w:jc w:val="both"/>
        <w:rPr>
          <w:rFonts w:ascii="Arial" w:hAnsi="Arial" w:cs="Arial"/>
          <w:sz w:val="22"/>
          <w:szCs w:val="22"/>
          <w:lang w:val="ro-RO"/>
        </w:rPr>
      </w:pPr>
      <w:r w:rsidRPr="008441D3">
        <w:rPr>
          <w:rFonts w:ascii="Arial" w:hAnsi="Arial" w:cs="Arial"/>
          <w:sz w:val="22"/>
          <w:szCs w:val="22"/>
          <w:lang w:val="ro-RO"/>
        </w:rPr>
        <w:t>Precizarea a două dintre valorile la care se evaluează stocurile de materii prime la intrarea în patrimoniu;</w:t>
      </w:r>
    </w:p>
    <w:p w:rsidR="008441D3" w:rsidRPr="008441D3" w:rsidRDefault="008441D3" w:rsidP="008441D3">
      <w:pPr>
        <w:numPr>
          <w:ilvl w:val="0"/>
          <w:numId w:val="1"/>
        </w:numPr>
        <w:jc w:val="both"/>
        <w:rPr>
          <w:rFonts w:ascii="Arial" w:hAnsi="Arial" w:cs="Arial"/>
          <w:sz w:val="22"/>
          <w:szCs w:val="22"/>
          <w:lang w:val="ro-RO"/>
        </w:rPr>
      </w:pPr>
      <w:r w:rsidRPr="008441D3">
        <w:rPr>
          <w:rFonts w:ascii="Arial" w:hAnsi="Arial" w:cs="Arial"/>
          <w:sz w:val="22"/>
          <w:szCs w:val="22"/>
          <w:lang w:val="ro-RO"/>
        </w:rPr>
        <w:t>Prezentarea a două metode de evaluare a stocurilor de materii prime la ieşirea din patrimoniu;</w:t>
      </w:r>
    </w:p>
    <w:p w:rsidR="008441D3" w:rsidRPr="008441D3" w:rsidRDefault="008441D3" w:rsidP="008441D3">
      <w:pPr>
        <w:numPr>
          <w:ilvl w:val="0"/>
          <w:numId w:val="1"/>
        </w:numPr>
        <w:jc w:val="both"/>
        <w:rPr>
          <w:rFonts w:ascii="Arial" w:hAnsi="Arial" w:cs="Arial"/>
          <w:sz w:val="22"/>
          <w:szCs w:val="22"/>
          <w:lang w:val="ro-RO"/>
        </w:rPr>
      </w:pPr>
      <w:r w:rsidRPr="008441D3">
        <w:rPr>
          <w:rFonts w:ascii="Arial" w:hAnsi="Arial" w:cs="Arial"/>
          <w:sz w:val="22"/>
          <w:szCs w:val="22"/>
          <w:lang w:val="ro-RO"/>
        </w:rPr>
        <w:t>Enumerarea metodelor de organizare a contabilităţii stocurilor de materii prime;</w:t>
      </w:r>
    </w:p>
    <w:p w:rsidR="008441D3" w:rsidRPr="008441D3" w:rsidRDefault="008441D3" w:rsidP="008441D3">
      <w:pPr>
        <w:numPr>
          <w:ilvl w:val="0"/>
          <w:numId w:val="1"/>
        </w:numPr>
        <w:jc w:val="both"/>
        <w:rPr>
          <w:rFonts w:ascii="Arial" w:hAnsi="Arial" w:cs="Arial"/>
          <w:sz w:val="22"/>
          <w:szCs w:val="22"/>
          <w:lang w:val="ro-RO"/>
        </w:rPr>
      </w:pPr>
      <w:r w:rsidRPr="008441D3">
        <w:rPr>
          <w:rFonts w:ascii="Arial" w:hAnsi="Arial" w:cs="Arial"/>
          <w:sz w:val="22"/>
          <w:szCs w:val="22"/>
          <w:lang w:val="ro-RO"/>
        </w:rPr>
        <w:t>Prezentarea conţinutului economic şi a funcţiunii contului care ţine evidenţa stocurilor de materii prime şi materiale.</w:t>
      </w:r>
    </w:p>
    <w:p w:rsidR="008441D3" w:rsidRPr="008441D3" w:rsidRDefault="008441D3" w:rsidP="008441D3">
      <w:pPr>
        <w:ind w:left="720"/>
        <w:jc w:val="both"/>
        <w:rPr>
          <w:rFonts w:ascii="Arial" w:hAnsi="Arial" w:cs="Arial"/>
          <w:sz w:val="22"/>
          <w:szCs w:val="22"/>
          <w:lang w:val="ro-RO"/>
        </w:rPr>
      </w:pPr>
    </w:p>
    <w:p w:rsidR="008441D3" w:rsidRPr="00D15642" w:rsidRDefault="008441D3" w:rsidP="008441D3">
      <w:pPr>
        <w:pStyle w:val="ListParagraph"/>
        <w:rPr>
          <w:rFonts w:ascii="Arial" w:hAnsi="Arial" w:cs="Arial"/>
          <w:b/>
          <w:sz w:val="22"/>
          <w:szCs w:val="22"/>
          <w:lang w:val="it-IT"/>
        </w:rPr>
      </w:pPr>
      <w:r w:rsidRPr="00D15642">
        <w:rPr>
          <w:rFonts w:ascii="Arial" w:hAnsi="Arial" w:cs="Arial"/>
          <w:b/>
          <w:sz w:val="22"/>
          <w:szCs w:val="22"/>
          <w:lang w:val="it-IT"/>
        </w:rPr>
        <w:t>Nivelul de dificultate: ridicat</w:t>
      </w:r>
    </w:p>
    <w:p w:rsidR="008441D3" w:rsidRPr="00D15642" w:rsidRDefault="008441D3" w:rsidP="008441D3">
      <w:pPr>
        <w:pStyle w:val="ListParagraph"/>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8441D3" w:rsidRPr="008441D3" w:rsidRDefault="008441D3" w:rsidP="008441D3">
      <w:pPr>
        <w:jc w:val="both"/>
        <w:rPr>
          <w:rFonts w:ascii="Arial" w:hAnsi="Arial" w:cs="Arial"/>
          <w:i/>
          <w:sz w:val="22"/>
          <w:szCs w:val="22"/>
        </w:rPr>
      </w:pPr>
      <w:r>
        <w:rPr>
          <w:rFonts w:ascii="Arial" w:hAnsi="Arial" w:cs="Arial"/>
          <w:i/>
          <w:sz w:val="22"/>
          <w:szCs w:val="22"/>
        </w:rPr>
        <w:t xml:space="preserve">         </w:t>
      </w:r>
      <w:proofErr w:type="gramStart"/>
      <w:r w:rsidRPr="008441D3">
        <w:rPr>
          <w:rFonts w:ascii="Arial" w:hAnsi="Arial" w:cs="Arial"/>
          <w:i/>
          <w:sz w:val="22"/>
          <w:szCs w:val="22"/>
        </w:rPr>
        <w:t>NOTA :Se</w:t>
      </w:r>
      <w:proofErr w:type="gramEnd"/>
      <w:r w:rsidRPr="008441D3">
        <w:rPr>
          <w:rFonts w:ascii="Arial" w:hAnsi="Arial" w:cs="Arial"/>
          <w:i/>
          <w:sz w:val="22"/>
          <w:szCs w:val="22"/>
        </w:rPr>
        <w:t xml:space="preserve"> </w:t>
      </w:r>
      <w:proofErr w:type="spellStart"/>
      <w:r w:rsidRPr="008441D3">
        <w:rPr>
          <w:rFonts w:ascii="Arial" w:hAnsi="Arial" w:cs="Arial"/>
          <w:i/>
          <w:sz w:val="22"/>
          <w:szCs w:val="22"/>
        </w:rPr>
        <w:t>punctează</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orice</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formulare</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şi</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caracterizare</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corecte</w:t>
      </w:r>
      <w:proofErr w:type="spellEnd"/>
      <w:r w:rsidRPr="008441D3">
        <w:rPr>
          <w:rFonts w:ascii="Arial" w:hAnsi="Arial" w:cs="Arial"/>
          <w:i/>
          <w:sz w:val="22"/>
          <w:szCs w:val="22"/>
        </w:rPr>
        <w:t xml:space="preserve">.  </w:t>
      </w:r>
    </w:p>
    <w:p w:rsidR="008441D3" w:rsidRPr="008441D3" w:rsidRDefault="008441D3" w:rsidP="008441D3">
      <w:pPr>
        <w:jc w:val="center"/>
        <w:rPr>
          <w:rFonts w:ascii="Arial" w:hAnsi="Arial" w:cs="Arial"/>
          <w:sz w:val="22"/>
          <w:szCs w:val="22"/>
        </w:rPr>
      </w:pPr>
    </w:p>
    <w:p w:rsidR="008441D3" w:rsidRPr="008441D3" w:rsidRDefault="008441D3" w:rsidP="008441D3">
      <w:pPr>
        <w:pStyle w:val="Default"/>
        <w:numPr>
          <w:ilvl w:val="0"/>
          <w:numId w:val="3"/>
        </w:numPr>
        <w:tabs>
          <w:tab w:val="left" w:pos="567"/>
        </w:tabs>
        <w:ind w:left="0" w:firstLine="720"/>
        <w:jc w:val="both"/>
        <w:rPr>
          <w:sz w:val="22"/>
          <w:szCs w:val="22"/>
          <w:lang w:val="it-IT"/>
        </w:rPr>
      </w:pPr>
      <w:r w:rsidRPr="008441D3">
        <w:rPr>
          <w:b/>
          <w:sz w:val="22"/>
          <w:szCs w:val="22"/>
        </w:rPr>
        <w:t xml:space="preserve"> </w:t>
      </w:r>
      <w:r w:rsidRPr="008441D3">
        <w:rPr>
          <w:sz w:val="22"/>
          <w:szCs w:val="22"/>
          <w:lang w:val="it-IT"/>
        </w:rPr>
        <w:t>Materiile prime sunt stocuri ce</w:t>
      </w:r>
      <w:r w:rsidRPr="008441D3">
        <w:rPr>
          <w:b/>
          <w:sz w:val="22"/>
          <w:szCs w:val="22"/>
          <w:lang w:val="it-IT"/>
        </w:rPr>
        <w:t xml:space="preserve"> </w:t>
      </w:r>
      <w:r w:rsidRPr="008441D3">
        <w:rPr>
          <w:sz w:val="22"/>
          <w:szCs w:val="22"/>
          <w:lang w:val="it-IT"/>
        </w:rPr>
        <w:t>participă direct la fabricarea produsului şi se regăsesc în produsul finit integral sau parţial, fie în starea lor iniţială, fie transformată.</w:t>
      </w:r>
    </w:p>
    <w:p w:rsidR="008441D3" w:rsidRPr="008441D3" w:rsidRDefault="008441D3" w:rsidP="008441D3">
      <w:pPr>
        <w:pStyle w:val="Default"/>
        <w:numPr>
          <w:ilvl w:val="0"/>
          <w:numId w:val="3"/>
        </w:numPr>
        <w:tabs>
          <w:tab w:val="left" w:pos="567"/>
        </w:tabs>
        <w:ind w:left="0" w:firstLine="720"/>
        <w:jc w:val="both"/>
        <w:rPr>
          <w:b/>
          <w:sz w:val="22"/>
          <w:szCs w:val="22"/>
          <w:lang w:val="it-IT"/>
        </w:rPr>
      </w:pPr>
    </w:p>
    <w:p w:rsidR="008441D3" w:rsidRPr="008441D3" w:rsidRDefault="008441D3" w:rsidP="008441D3">
      <w:pPr>
        <w:ind w:firstLine="720"/>
        <w:jc w:val="both"/>
        <w:outlineLvl w:val="0"/>
        <w:rPr>
          <w:rFonts w:ascii="Arial" w:hAnsi="Arial" w:cs="Arial"/>
          <w:sz w:val="22"/>
          <w:szCs w:val="22"/>
          <w:lang w:val="it-IT"/>
        </w:rPr>
      </w:pPr>
      <w:r w:rsidRPr="008441D3">
        <w:rPr>
          <w:rFonts w:ascii="Arial" w:hAnsi="Arial" w:cs="Arial"/>
          <w:sz w:val="22"/>
          <w:szCs w:val="22"/>
          <w:lang w:val="it-IT"/>
        </w:rPr>
        <w:t>După sursa de provenienţă materiile prime sunt stocuri cumpărate.</w:t>
      </w:r>
    </w:p>
    <w:p w:rsidR="008441D3" w:rsidRPr="008441D3" w:rsidRDefault="008441D3" w:rsidP="008441D3">
      <w:pPr>
        <w:pStyle w:val="Default"/>
        <w:numPr>
          <w:ilvl w:val="0"/>
          <w:numId w:val="3"/>
        </w:numPr>
        <w:tabs>
          <w:tab w:val="left" w:pos="567"/>
        </w:tabs>
        <w:ind w:left="0" w:firstLine="720"/>
        <w:jc w:val="both"/>
        <w:rPr>
          <w:b/>
          <w:sz w:val="22"/>
          <w:szCs w:val="22"/>
          <w:lang w:val="it-IT"/>
        </w:rPr>
      </w:pPr>
      <w:r w:rsidRPr="008441D3">
        <w:rPr>
          <w:b/>
          <w:sz w:val="22"/>
          <w:szCs w:val="22"/>
          <w:lang w:val="it-IT"/>
        </w:rPr>
        <w:t xml:space="preserve"> </w:t>
      </w:r>
    </w:p>
    <w:p w:rsidR="008441D3" w:rsidRPr="008441D3" w:rsidRDefault="008441D3" w:rsidP="008441D3">
      <w:pPr>
        <w:ind w:firstLine="567"/>
        <w:jc w:val="both"/>
        <w:outlineLvl w:val="0"/>
        <w:rPr>
          <w:rFonts w:ascii="Arial" w:hAnsi="Arial" w:cs="Arial"/>
          <w:sz w:val="22"/>
          <w:szCs w:val="22"/>
          <w:lang w:val="it-IT"/>
        </w:rPr>
      </w:pPr>
      <w:r w:rsidRPr="008441D3">
        <w:rPr>
          <w:rFonts w:ascii="Arial" w:hAnsi="Arial" w:cs="Arial"/>
          <w:sz w:val="22"/>
          <w:szCs w:val="22"/>
          <w:lang w:val="it-IT"/>
        </w:rPr>
        <w:t>La intrarea în patrimoniu, stocurile de materii prime se evaluează la:</w:t>
      </w:r>
    </w:p>
    <w:p w:rsidR="008441D3" w:rsidRPr="008441D3" w:rsidRDefault="008441D3" w:rsidP="008441D3">
      <w:pPr>
        <w:numPr>
          <w:ilvl w:val="0"/>
          <w:numId w:val="2"/>
        </w:numPr>
        <w:ind w:left="0"/>
        <w:jc w:val="both"/>
        <w:rPr>
          <w:rFonts w:ascii="Arial" w:hAnsi="Arial" w:cs="Arial"/>
          <w:sz w:val="22"/>
          <w:szCs w:val="22"/>
        </w:rPr>
      </w:pPr>
      <w:proofErr w:type="spellStart"/>
      <w:r w:rsidRPr="008441D3">
        <w:rPr>
          <w:rFonts w:ascii="Arial" w:hAnsi="Arial" w:cs="Arial"/>
          <w:sz w:val="22"/>
          <w:szCs w:val="22"/>
        </w:rPr>
        <w:t>costul</w:t>
      </w:r>
      <w:proofErr w:type="spellEnd"/>
      <w:r w:rsidRPr="008441D3">
        <w:rPr>
          <w:rFonts w:ascii="Arial" w:hAnsi="Arial" w:cs="Arial"/>
          <w:sz w:val="22"/>
          <w:szCs w:val="22"/>
        </w:rPr>
        <w:t xml:space="preserve"> de </w:t>
      </w:r>
      <w:proofErr w:type="spellStart"/>
      <w:r w:rsidRPr="008441D3">
        <w:rPr>
          <w:rFonts w:ascii="Arial" w:hAnsi="Arial" w:cs="Arial"/>
          <w:sz w:val="22"/>
          <w:szCs w:val="22"/>
        </w:rPr>
        <w:t>achiziţie</w:t>
      </w:r>
      <w:proofErr w:type="spellEnd"/>
      <w:r w:rsidRPr="008441D3">
        <w:rPr>
          <w:rFonts w:ascii="Arial" w:hAnsi="Arial" w:cs="Arial"/>
          <w:sz w:val="22"/>
          <w:szCs w:val="22"/>
        </w:rPr>
        <w:t xml:space="preserve">, </w:t>
      </w:r>
      <w:proofErr w:type="spellStart"/>
      <w:r w:rsidRPr="008441D3">
        <w:rPr>
          <w:rFonts w:ascii="Arial" w:hAnsi="Arial" w:cs="Arial"/>
          <w:sz w:val="22"/>
          <w:szCs w:val="22"/>
        </w:rPr>
        <w:t>cele</w:t>
      </w:r>
      <w:proofErr w:type="spellEnd"/>
      <w:r w:rsidRPr="008441D3">
        <w:rPr>
          <w:rFonts w:ascii="Arial" w:hAnsi="Arial" w:cs="Arial"/>
          <w:sz w:val="22"/>
          <w:szCs w:val="22"/>
        </w:rPr>
        <w:t xml:space="preserve"> </w:t>
      </w:r>
      <w:proofErr w:type="spellStart"/>
      <w:r w:rsidRPr="008441D3">
        <w:rPr>
          <w:rFonts w:ascii="Arial" w:hAnsi="Arial" w:cs="Arial"/>
          <w:sz w:val="22"/>
          <w:szCs w:val="22"/>
        </w:rPr>
        <w:t>procurate</w:t>
      </w:r>
      <w:proofErr w:type="spellEnd"/>
      <w:r w:rsidRPr="008441D3">
        <w:rPr>
          <w:rFonts w:ascii="Arial" w:hAnsi="Arial" w:cs="Arial"/>
          <w:sz w:val="22"/>
          <w:szCs w:val="22"/>
        </w:rPr>
        <w:t xml:space="preserve"> de la </w:t>
      </w:r>
      <w:proofErr w:type="spellStart"/>
      <w:r w:rsidRPr="008441D3">
        <w:rPr>
          <w:rFonts w:ascii="Arial" w:hAnsi="Arial" w:cs="Arial"/>
          <w:sz w:val="22"/>
          <w:szCs w:val="22"/>
        </w:rPr>
        <w:t>furnizori</w:t>
      </w:r>
      <w:proofErr w:type="spellEnd"/>
      <w:r w:rsidRPr="008441D3">
        <w:rPr>
          <w:rFonts w:ascii="Arial" w:hAnsi="Arial" w:cs="Arial"/>
          <w:sz w:val="22"/>
          <w:szCs w:val="22"/>
        </w:rPr>
        <w:t>;</w:t>
      </w:r>
    </w:p>
    <w:p w:rsidR="008441D3" w:rsidRPr="008441D3" w:rsidRDefault="008441D3" w:rsidP="008441D3">
      <w:pPr>
        <w:numPr>
          <w:ilvl w:val="0"/>
          <w:numId w:val="2"/>
        </w:numPr>
        <w:ind w:left="0"/>
        <w:jc w:val="both"/>
        <w:rPr>
          <w:rFonts w:ascii="Arial" w:hAnsi="Arial" w:cs="Arial"/>
          <w:sz w:val="22"/>
          <w:szCs w:val="22"/>
          <w:lang w:val="fr-FR"/>
        </w:rPr>
      </w:pPr>
      <w:proofErr w:type="spellStart"/>
      <w:r w:rsidRPr="008441D3">
        <w:rPr>
          <w:rFonts w:ascii="Arial" w:hAnsi="Arial" w:cs="Arial"/>
          <w:sz w:val="22"/>
          <w:szCs w:val="22"/>
          <w:lang w:val="fr-FR"/>
        </w:rPr>
        <w:t>costul</w:t>
      </w:r>
      <w:proofErr w:type="spellEnd"/>
      <w:r w:rsidRPr="008441D3">
        <w:rPr>
          <w:rFonts w:ascii="Arial" w:hAnsi="Arial" w:cs="Arial"/>
          <w:sz w:val="22"/>
          <w:szCs w:val="22"/>
          <w:lang w:val="fr-FR"/>
        </w:rPr>
        <w:t xml:space="preserve"> de </w:t>
      </w:r>
      <w:proofErr w:type="spellStart"/>
      <w:r w:rsidRPr="008441D3">
        <w:rPr>
          <w:rFonts w:ascii="Arial" w:hAnsi="Arial" w:cs="Arial"/>
          <w:sz w:val="22"/>
          <w:szCs w:val="22"/>
          <w:lang w:val="fr-FR"/>
        </w:rPr>
        <w:t>producţie</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cele</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obtinuţe</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din</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producţie</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proprie</w:t>
      </w:r>
      <w:proofErr w:type="spellEnd"/>
      <w:r w:rsidRPr="008441D3">
        <w:rPr>
          <w:rFonts w:ascii="Arial" w:hAnsi="Arial" w:cs="Arial"/>
          <w:sz w:val="22"/>
          <w:szCs w:val="22"/>
          <w:lang w:val="fr-FR"/>
        </w:rPr>
        <w:t>;</w:t>
      </w:r>
    </w:p>
    <w:p w:rsidR="008441D3" w:rsidRPr="008441D3" w:rsidRDefault="008441D3" w:rsidP="008441D3">
      <w:pPr>
        <w:numPr>
          <w:ilvl w:val="0"/>
          <w:numId w:val="2"/>
        </w:numPr>
        <w:ind w:left="0"/>
        <w:jc w:val="both"/>
        <w:rPr>
          <w:rFonts w:ascii="Arial" w:hAnsi="Arial" w:cs="Arial"/>
          <w:sz w:val="22"/>
          <w:szCs w:val="22"/>
          <w:lang w:val="fr-FR"/>
        </w:rPr>
      </w:pPr>
      <w:proofErr w:type="spellStart"/>
      <w:r w:rsidRPr="008441D3">
        <w:rPr>
          <w:rFonts w:ascii="Arial" w:hAnsi="Arial" w:cs="Arial"/>
          <w:sz w:val="22"/>
          <w:szCs w:val="22"/>
          <w:lang w:val="fr-FR"/>
        </w:rPr>
        <w:t>valoarea</w:t>
      </w:r>
      <w:proofErr w:type="spellEnd"/>
      <w:r w:rsidRPr="008441D3">
        <w:rPr>
          <w:rFonts w:ascii="Arial" w:hAnsi="Arial" w:cs="Arial"/>
          <w:sz w:val="22"/>
          <w:szCs w:val="22"/>
          <w:lang w:val="fr-FR"/>
        </w:rPr>
        <w:t xml:space="preserve"> de </w:t>
      </w:r>
      <w:proofErr w:type="spellStart"/>
      <w:r w:rsidRPr="008441D3">
        <w:rPr>
          <w:rFonts w:ascii="Arial" w:hAnsi="Arial" w:cs="Arial"/>
          <w:sz w:val="22"/>
          <w:szCs w:val="22"/>
          <w:lang w:val="fr-FR"/>
        </w:rPr>
        <w:t>utilitate</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cele</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reprezentând</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aport</w:t>
      </w:r>
      <w:proofErr w:type="spellEnd"/>
      <w:r w:rsidRPr="008441D3">
        <w:rPr>
          <w:rFonts w:ascii="Arial" w:hAnsi="Arial" w:cs="Arial"/>
          <w:sz w:val="22"/>
          <w:szCs w:val="22"/>
          <w:lang w:val="fr-FR"/>
        </w:rPr>
        <w:t xml:space="preserve"> la </w:t>
      </w:r>
      <w:proofErr w:type="spellStart"/>
      <w:r w:rsidRPr="008441D3">
        <w:rPr>
          <w:rFonts w:ascii="Arial" w:hAnsi="Arial" w:cs="Arial"/>
          <w:sz w:val="22"/>
          <w:szCs w:val="22"/>
          <w:lang w:val="fr-FR"/>
        </w:rPr>
        <w:t>capitalul</w:t>
      </w:r>
      <w:proofErr w:type="spellEnd"/>
      <w:r w:rsidRPr="008441D3">
        <w:rPr>
          <w:rFonts w:ascii="Arial" w:hAnsi="Arial" w:cs="Arial"/>
          <w:sz w:val="22"/>
          <w:szCs w:val="22"/>
          <w:lang w:val="fr-FR"/>
        </w:rPr>
        <w:t xml:space="preserve"> social, </w:t>
      </w:r>
      <w:proofErr w:type="spellStart"/>
      <w:r w:rsidRPr="008441D3">
        <w:rPr>
          <w:rFonts w:ascii="Arial" w:hAnsi="Arial" w:cs="Arial"/>
          <w:sz w:val="22"/>
          <w:szCs w:val="22"/>
          <w:lang w:val="fr-FR"/>
        </w:rPr>
        <w:t>obţinute</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cu</w:t>
      </w:r>
      <w:proofErr w:type="spellEnd"/>
      <w:r w:rsidRPr="008441D3">
        <w:rPr>
          <w:rFonts w:ascii="Arial" w:hAnsi="Arial" w:cs="Arial"/>
          <w:sz w:val="22"/>
          <w:szCs w:val="22"/>
          <w:lang w:val="fr-FR"/>
        </w:rPr>
        <w:t xml:space="preserve"> </w:t>
      </w:r>
      <w:proofErr w:type="spellStart"/>
      <w:r w:rsidRPr="008441D3">
        <w:rPr>
          <w:rFonts w:ascii="Arial" w:hAnsi="Arial" w:cs="Arial"/>
          <w:sz w:val="22"/>
          <w:szCs w:val="22"/>
          <w:lang w:val="fr-FR"/>
        </w:rPr>
        <w:t>titlu</w:t>
      </w:r>
      <w:proofErr w:type="spellEnd"/>
      <w:r w:rsidRPr="008441D3">
        <w:rPr>
          <w:rFonts w:ascii="Arial" w:hAnsi="Arial" w:cs="Arial"/>
          <w:sz w:val="22"/>
          <w:szCs w:val="22"/>
          <w:lang w:val="fr-FR"/>
        </w:rPr>
        <w:t xml:space="preserve"> gratuit </w:t>
      </w:r>
      <w:proofErr w:type="gramStart"/>
      <w:r w:rsidRPr="008441D3">
        <w:rPr>
          <w:rFonts w:ascii="Arial" w:hAnsi="Arial" w:cs="Arial"/>
          <w:sz w:val="22"/>
          <w:szCs w:val="22"/>
          <w:lang w:val="fr-FR"/>
        </w:rPr>
        <w:t xml:space="preserve">( </w:t>
      </w:r>
      <w:proofErr w:type="spellStart"/>
      <w:r w:rsidRPr="008441D3">
        <w:rPr>
          <w:rFonts w:ascii="Arial" w:hAnsi="Arial" w:cs="Arial"/>
          <w:sz w:val="22"/>
          <w:szCs w:val="22"/>
          <w:lang w:val="fr-FR"/>
        </w:rPr>
        <w:t>donaţii</w:t>
      </w:r>
      <w:proofErr w:type="spellEnd"/>
      <w:proofErr w:type="gramEnd"/>
      <w:r w:rsidRPr="008441D3">
        <w:rPr>
          <w:rFonts w:ascii="Arial" w:hAnsi="Arial" w:cs="Arial"/>
          <w:sz w:val="22"/>
          <w:szCs w:val="22"/>
          <w:lang w:val="fr-FR"/>
        </w:rPr>
        <w:t xml:space="preserve">, </w:t>
      </w:r>
      <w:proofErr w:type="spellStart"/>
      <w:r w:rsidRPr="008441D3">
        <w:rPr>
          <w:rFonts w:ascii="Arial" w:hAnsi="Arial" w:cs="Arial"/>
          <w:sz w:val="22"/>
          <w:szCs w:val="22"/>
          <w:lang w:val="fr-FR"/>
        </w:rPr>
        <w:t>plusuri</w:t>
      </w:r>
      <w:proofErr w:type="spellEnd"/>
      <w:r w:rsidRPr="008441D3">
        <w:rPr>
          <w:rFonts w:ascii="Arial" w:hAnsi="Arial" w:cs="Arial"/>
          <w:sz w:val="22"/>
          <w:szCs w:val="22"/>
          <w:lang w:val="fr-FR"/>
        </w:rPr>
        <w:t xml:space="preserve"> de </w:t>
      </w:r>
      <w:proofErr w:type="spellStart"/>
      <w:r w:rsidRPr="008441D3">
        <w:rPr>
          <w:rFonts w:ascii="Arial" w:hAnsi="Arial" w:cs="Arial"/>
          <w:sz w:val="22"/>
          <w:szCs w:val="22"/>
          <w:lang w:val="fr-FR"/>
        </w:rPr>
        <w:t>inventar</w:t>
      </w:r>
      <w:proofErr w:type="spellEnd"/>
      <w:r w:rsidRPr="008441D3">
        <w:rPr>
          <w:rFonts w:ascii="Arial" w:hAnsi="Arial" w:cs="Arial"/>
          <w:sz w:val="22"/>
          <w:szCs w:val="22"/>
          <w:lang w:val="fr-FR"/>
        </w:rPr>
        <w:t xml:space="preserve"> , etc.).</w:t>
      </w:r>
    </w:p>
    <w:p w:rsidR="008441D3" w:rsidRPr="008441D3" w:rsidRDefault="008441D3" w:rsidP="008441D3">
      <w:pPr>
        <w:pStyle w:val="Default"/>
        <w:numPr>
          <w:ilvl w:val="0"/>
          <w:numId w:val="3"/>
        </w:numPr>
        <w:tabs>
          <w:tab w:val="left" w:pos="567"/>
        </w:tabs>
        <w:ind w:left="0" w:firstLine="720"/>
        <w:jc w:val="both"/>
        <w:rPr>
          <w:b/>
          <w:sz w:val="22"/>
          <w:szCs w:val="22"/>
          <w:lang w:val="fr-FR"/>
        </w:rPr>
      </w:pPr>
      <w:r w:rsidRPr="008441D3">
        <w:rPr>
          <w:b/>
          <w:sz w:val="22"/>
          <w:szCs w:val="22"/>
          <w:lang w:val="fr-FR"/>
        </w:rPr>
        <w:t xml:space="preserve"> </w:t>
      </w:r>
    </w:p>
    <w:p w:rsidR="008441D3" w:rsidRPr="008441D3" w:rsidRDefault="008441D3" w:rsidP="008441D3">
      <w:pPr>
        <w:pStyle w:val="Heading1"/>
        <w:ind w:firstLine="720"/>
        <w:jc w:val="both"/>
        <w:rPr>
          <w:rFonts w:cs="Arial"/>
          <w:b w:val="0"/>
          <w:szCs w:val="22"/>
        </w:rPr>
      </w:pPr>
      <w:r w:rsidRPr="008441D3">
        <w:rPr>
          <w:rFonts w:cs="Arial"/>
          <w:b w:val="0"/>
          <w:szCs w:val="22"/>
        </w:rPr>
        <w:t>Metoda CMP constă în evaluarea cantităţii consumate la un cost mediu calculat fie după fiecare intrare (cumpărare), fie la sfârşitul lunii (global), conform relaţiei :</w:t>
      </w:r>
    </w:p>
    <w:p w:rsidR="008441D3" w:rsidRPr="008441D3" w:rsidRDefault="008441D3" w:rsidP="008441D3">
      <w:pPr>
        <w:pStyle w:val="Heading2"/>
        <w:spacing w:before="0"/>
        <w:jc w:val="both"/>
        <w:rPr>
          <w:rFonts w:ascii="Arial" w:hAnsi="Arial" w:cs="Arial"/>
          <w:b w:val="0"/>
          <w:i/>
          <w:color w:val="auto"/>
          <w:sz w:val="22"/>
          <w:szCs w:val="22"/>
        </w:rPr>
      </w:pPr>
      <w:r w:rsidRPr="008441D3">
        <w:rPr>
          <w:rFonts w:ascii="Arial" w:hAnsi="Arial" w:cs="Arial"/>
          <w:b w:val="0"/>
          <w:sz w:val="22"/>
          <w:szCs w:val="22"/>
        </w:rPr>
        <w:tab/>
      </w:r>
      <w:r w:rsidRPr="008441D3">
        <w:rPr>
          <w:rFonts w:ascii="Arial" w:hAnsi="Arial" w:cs="Arial"/>
          <w:b w:val="0"/>
          <w:sz w:val="22"/>
          <w:szCs w:val="22"/>
        </w:rPr>
        <w:tab/>
        <w:t xml:space="preserve">            </w:t>
      </w:r>
      <w:proofErr w:type="spellStart"/>
      <w:r w:rsidRPr="008441D3">
        <w:rPr>
          <w:rFonts w:ascii="Arial" w:hAnsi="Arial" w:cs="Arial"/>
          <w:b w:val="0"/>
          <w:i/>
          <w:color w:val="auto"/>
          <w:sz w:val="22"/>
          <w:szCs w:val="22"/>
        </w:rPr>
        <w:t>Valoare</w:t>
      </w:r>
      <w:proofErr w:type="spellEnd"/>
      <w:r w:rsidRPr="008441D3">
        <w:rPr>
          <w:rFonts w:ascii="Arial" w:hAnsi="Arial" w:cs="Arial"/>
          <w:b w:val="0"/>
          <w:i/>
          <w:color w:val="auto"/>
          <w:sz w:val="22"/>
          <w:szCs w:val="22"/>
        </w:rPr>
        <w:t xml:space="preserve"> </w:t>
      </w:r>
      <w:proofErr w:type="spellStart"/>
      <w:r w:rsidRPr="008441D3">
        <w:rPr>
          <w:rFonts w:ascii="Arial" w:hAnsi="Arial" w:cs="Arial"/>
          <w:b w:val="0"/>
          <w:i/>
          <w:color w:val="auto"/>
          <w:sz w:val="22"/>
          <w:szCs w:val="22"/>
        </w:rPr>
        <w:t>stoc</w:t>
      </w:r>
      <w:proofErr w:type="spellEnd"/>
      <w:r w:rsidRPr="008441D3">
        <w:rPr>
          <w:rFonts w:ascii="Arial" w:hAnsi="Arial" w:cs="Arial"/>
          <w:b w:val="0"/>
          <w:i/>
          <w:color w:val="auto"/>
          <w:sz w:val="22"/>
          <w:szCs w:val="22"/>
        </w:rPr>
        <w:t xml:space="preserve"> </w:t>
      </w:r>
      <w:proofErr w:type="spellStart"/>
      <w:r w:rsidRPr="008441D3">
        <w:rPr>
          <w:rFonts w:ascii="Arial" w:hAnsi="Arial" w:cs="Arial"/>
          <w:b w:val="0"/>
          <w:i/>
          <w:color w:val="auto"/>
          <w:sz w:val="22"/>
          <w:szCs w:val="22"/>
        </w:rPr>
        <w:t>inţial</w:t>
      </w:r>
      <w:proofErr w:type="spellEnd"/>
      <w:r w:rsidRPr="008441D3">
        <w:rPr>
          <w:rFonts w:ascii="Arial" w:hAnsi="Arial" w:cs="Arial"/>
          <w:b w:val="0"/>
          <w:i/>
          <w:color w:val="auto"/>
          <w:sz w:val="22"/>
          <w:szCs w:val="22"/>
        </w:rPr>
        <w:t xml:space="preserve"> (</w:t>
      </w:r>
      <w:proofErr w:type="spellStart"/>
      <w:r w:rsidRPr="008441D3">
        <w:rPr>
          <w:rFonts w:ascii="Arial" w:hAnsi="Arial" w:cs="Arial"/>
          <w:b w:val="0"/>
          <w:i/>
          <w:color w:val="auto"/>
          <w:sz w:val="22"/>
          <w:szCs w:val="22"/>
        </w:rPr>
        <w:t>Ve</w:t>
      </w:r>
      <w:proofErr w:type="spellEnd"/>
      <w:r w:rsidRPr="008441D3">
        <w:rPr>
          <w:rFonts w:ascii="Arial" w:hAnsi="Arial" w:cs="Arial"/>
          <w:b w:val="0"/>
          <w:i/>
          <w:color w:val="auto"/>
          <w:sz w:val="22"/>
          <w:szCs w:val="22"/>
        </w:rPr>
        <w:t xml:space="preserve">) + </w:t>
      </w:r>
      <w:proofErr w:type="spellStart"/>
      <w:r w:rsidRPr="008441D3">
        <w:rPr>
          <w:rFonts w:ascii="Arial" w:hAnsi="Arial" w:cs="Arial"/>
          <w:b w:val="0"/>
          <w:i/>
          <w:color w:val="auto"/>
          <w:sz w:val="22"/>
          <w:szCs w:val="22"/>
        </w:rPr>
        <w:t>Valoarea</w:t>
      </w:r>
      <w:proofErr w:type="spellEnd"/>
      <w:r w:rsidRPr="008441D3">
        <w:rPr>
          <w:rFonts w:ascii="Arial" w:hAnsi="Arial" w:cs="Arial"/>
          <w:b w:val="0"/>
          <w:i/>
          <w:color w:val="auto"/>
          <w:sz w:val="22"/>
          <w:szCs w:val="22"/>
        </w:rPr>
        <w:t xml:space="preserve"> </w:t>
      </w:r>
      <w:proofErr w:type="spellStart"/>
      <w:r w:rsidRPr="008441D3">
        <w:rPr>
          <w:rFonts w:ascii="Arial" w:hAnsi="Arial" w:cs="Arial"/>
          <w:b w:val="0"/>
          <w:i/>
          <w:color w:val="auto"/>
          <w:sz w:val="22"/>
          <w:szCs w:val="22"/>
        </w:rPr>
        <w:t>intrărilor</w:t>
      </w:r>
      <w:proofErr w:type="spellEnd"/>
      <w:r w:rsidRPr="008441D3">
        <w:rPr>
          <w:rFonts w:ascii="Arial" w:hAnsi="Arial" w:cs="Arial"/>
          <w:b w:val="0"/>
          <w:i/>
          <w:color w:val="auto"/>
          <w:sz w:val="22"/>
          <w:szCs w:val="22"/>
        </w:rPr>
        <w:t xml:space="preserve"> din </w:t>
      </w:r>
      <w:proofErr w:type="spellStart"/>
      <w:proofErr w:type="gramStart"/>
      <w:r w:rsidRPr="008441D3">
        <w:rPr>
          <w:rFonts w:ascii="Arial" w:hAnsi="Arial" w:cs="Arial"/>
          <w:b w:val="0"/>
          <w:i/>
          <w:color w:val="auto"/>
          <w:sz w:val="22"/>
          <w:szCs w:val="22"/>
        </w:rPr>
        <w:t>lună</w:t>
      </w:r>
      <w:proofErr w:type="spellEnd"/>
      <w:proofErr w:type="gramEnd"/>
      <w:r w:rsidRPr="008441D3">
        <w:rPr>
          <w:rFonts w:ascii="Arial" w:hAnsi="Arial" w:cs="Arial"/>
          <w:b w:val="0"/>
          <w:i/>
          <w:color w:val="auto"/>
          <w:sz w:val="22"/>
          <w:szCs w:val="22"/>
        </w:rPr>
        <w:t xml:space="preserve"> (Vi)</w:t>
      </w:r>
    </w:p>
    <w:p w:rsidR="008441D3" w:rsidRPr="008441D3" w:rsidRDefault="008441D3" w:rsidP="008441D3">
      <w:pPr>
        <w:jc w:val="both"/>
        <w:rPr>
          <w:rFonts w:ascii="Arial" w:hAnsi="Arial" w:cs="Arial"/>
          <w:sz w:val="22"/>
          <w:szCs w:val="22"/>
        </w:rPr>
      </w:pPr>
      <w:r w:rsidRPr="008441D3">
        <w:rPr>
          <w:rFonts w:ascii="Arial" w:hAnsi="Arial" w:cs="Arial"/>
          <w:sz w:val="22"/>
          <w:szCs w:val="22"/>
        </w:rPr>
        <w:t xml:space="preserve">     </w:t>
      </w:r>
      <w:r w:rsidRPr="008441D3">
        <w:rPr>
          <w:rFonts w:ascii="Arial" w:hAnsi="Arial" w:cs="Arial"/>
          <w:sz w:val="22"/>
          <w:szCs w:val="22"/>
        </w:rPr>
        <w:tab/>
      </w:r>
      <w:proofErr w:type="gramStart"/>
      <w:r w:rsidRPr="008441D3">
        <w:rPr>
          <w:rFonts w:ascii="Arial" w:hAnsi="Arial" w:cs="Arial"/>
          <w:sz w:val="22"/>
          <w:szCs w:val="22"/>
        </w:rPr>
        <w:t>CMP  =</w:t>
      </w:r>
      <w:proofErr w:type="gramEnd"/>
      <w:r w:rsidRPr="008441D3">
        <w:rPr>
          <w:rFonts w:ascii="Arial" w:hAnsi="Arial" w:cs="Arial"/>
          <w:sz w:val="22"/>
          <w:szCs w:val="22"/>
        </w:rPr>
        <w:t xml:space="preserve"> -------------------------------------------------------------------------------------</w:t>
      </w:r>
    </w:p>
    <w:p w:rsidR="008441D3" w:rsidRPr="008441D3" w:rsidRDefault="008441D3" w:rsidP="008441D3">
      <w:pPr>
        <w:jc w:val="both"/>
        <w:rPr>
          <w:rFonts w:ascii="Arial" w:hAnsi="Arial" w:cs="Arial"/>
          <w:sz w:val="22"/>
          <w:szCs w:val="22"/>
        </w:rPr>
      </w:pPr>
      <w:r w:rsidRPr="008441D3">
        <w:rPr>
          <w:rFonts w:ascii="Arial" w:hAnsi="Arial" w:cs="Arial"/>
          <w:sz w:val="22"/>
          <w:szCs w:val="22"/>
        </w:rPr>
        <w:tab/>
      </w:r>
      <w:r w:rsidRPr="008441D3">
        <w:rPr>
          <w:rFonts w:ascii="Arial" w:hAnsi="Arial" w:cs="Arial"/>
          <w:sz w:val="22"/>
          <w:szCs w:val="22"/>
        </w:rPr>
        <w:tab/>
        <w:t xml:space="preserve">   </w:t>
      </w:r>
      <w:proofErr w:type="spellStart"/>
      <w:r w:rsidRPr="008441D3">
        <w:rPr>
          <w:rFonts w:ascii="Arial" w:hAnsi="Arial" w:cs="Arial"/>
          <w:sz w:val="22"/>
          <w:szCs w:val="22"/>
        </w:rPr>
        <w:t>Cantitatea</w:t>
      </w:r>
      <w:proofErr w:type="spellEnd"/>
      <w:r w:rsidRPr="008441D3">
        <w:rPr>
          <w:rFonts w:ascii="Arial" w:hAnsi="Arial" w:cs="Arial"/>
          <w:sz w:val="22"/>
          <w:szCs w:val="22"/>
        </w:rPr>
        <w:t xml:space="preserve"> </w:t>
      </w:r>
      <w:proofErr w:type="spellStart"/>
      <w:r w:rsidRPr="008441D3">
        <w:rPr>
          <w:rFonts w:ascii="Arial" w:hAnsi="Arial" w:cs="Arial"/>
          <w:sz w:val="22"/>
          <w:szCs w:val="22"/>
        </w:rPr>
        <w:t>existentă</w:t>
      </w:r>
      <w:proofErr w:type="spellEnd"/>
      <w:r w:rsidRPr="008441D3">
        <w:rPr>
          <w:rFonts w:ascii="Arial" w:hAnsi="Arial" w:cs="Arial"/>
          <w:sz w:val="22"/>
          <w:szCs w:val="22"/>
        </w:rPr>
        <w:t xml:space="preserve"> </w:t>
      </w:r>
      <w:proofErr w:type="spellStart"/>
      <w:r w:rsidRPr="008441D3">
        <w:rPr>
          <w:rFonts w:ascii="Arial" w:hAnsi="Arial" w:cs="Arial"/>
          <w:sz w:val="22"/>
          <w:szCs w:val="22"/>
        </w:rPr>
        <w:t>în</w:t>
      </w:r>
      <w:proofErr w:type="spellEnd"/>
      <w:r w:rsidRPr="008441D3">
        <w:rPr>
          <w:rFonts w:ascii="Arial" w:hAnsi="Arial" w:cs="Arial"/>
          <w:sz w:val="22"/>
          <w:szCs w:val="22"/>
        </w:rPr>
        <w:t xml:space="preserve"> </w:t>
      </w:r>
      <w:proofErr w:type="spellStart"/>
      <w:r w:rsidRPr="008441D3">
        <w:rPr>
          <w:rFonts w:ascii="Arial" w:hAnsi="Arial" w:cs="Arial"/>
          <w:sz w:val="22"/>
          <w:szCs w:val="22"/>
        </w:rPr>
        <w:t>stoc</w:t>
      </w:r>
      <w:proofErr w:type="spellEnd"/>
      <w:r w:rsidRPr="008441D3">
        <w:rPr>
          <w:rFonts w:ascii="Arial" w:hAnsi="Arial" w:cs="Arial"/>
          <w:sz w:val="22"/>
          <w:szCs w:val="22"/>
        </w:rPr>
        <w:t xml:space="preserve"> (</w:t>
      </w:r>
      <w:proofErr w:type="spellStart"/>
      <w:r w:rsidRPr="008441D3">
        <w:rPr>
          <w:rFonts w:ascii="Arial" w:hAnsi="Arial" w:cs="Arial"/>
          <w:sz w:val="22"/>
          <w:szCs w:val="22"/>
        </w:rPr>
        <w:t>Ce</w:t>
      </w:r>
      <w:proofErr w:type="spellEnd"/>
      <w:proofErr w:type="gramStart"/>
      <w:r w:rsidRPr="008441D3">
        <w:rPr>
          <w:rFonts w:ascii="Arial" w:hAnsi="Arial" w:cs="Arial"/>
          <w:sz w:val="22"/>
          <w:szCs w:val="22"/>
        </w:rPr>
        <w:t>)  +</w:t>
      </w:r>
      <w:proofErr w:type="gramEnd"/>
      <w:r w:rsidRPr="008441D3">
        <w:rPr>
          <w:rFonts w:ascii="Arial" w:hAnsi="Arial" w:cs="Arial"/>
          <w:sz w:val="22"/>
          <w:szCs w:val="22"/>
        </w:rPr>
        <w:t xml:space="preserve"> </w:t>
      </w:r>
      <w:proofErr w:type="spellStart"/>
      <w:r w:rsidRPr="008441D3">
        <w:rPr>
          <w:rFonts w:ascii="Arial" w:hAnsi="Arial" w:cs="Arial"/>
          <w:sz w:val="22"/>
          <w:szCs w:val="22"/>
        </w:rPr>
        <w:t>Cantităţi</w:t>
      </w:r>
      <w:proofErr w:type="spellEnd"/>
      <w:r w:rsidRPr="008441D3">
        <w:rPr>
          <w:rFonts w:ascii="Arial" w:hAnsi="Arial" w:cs="Arial"/>
          <w:sz w:val="22"/>
          <w:szCs w:val="22"/>
        </w:rPr>
        <w:t xml:space="preserve"> </w:t>
      </w:r>
      <w:proofErr w:type="spellStart"/>
      <w:r w:rsidRPr="008441D3">
        <w:rPr>
          <w:rFonts w:ascii="Arial" w:hAnsi="Arial" w:cs="Arial"/>
          <w:sz w:val="22"/>
          <w:szCs w:val="22"/>
        </w:rPr>
        <w:t>intrate</w:t>
      </w:r>
      <w:proofErr w:type="spellEnd"/>
      <w:r w:rsidRPr="008441D3">
        <w:rPr>
          <w:rFonts w:ascii="Arial" w:hAnsi="Arial" w:cs="Arial"/>
          <w:sz w:val="22"/>
          <w:szCs w:val="22"/>
        </w:rPr>
        <w:t xml:space="preserve"> </w:t>
      </w:r>
      <w:proofErr w:type="spellStart"/>
      <w:r w:rsidRPr="008441D3">
        <w:rPr>
          <w:rFonts w:ascii="Arial" w:hAnsi="Arial" w:cs="Arial"/>
          <w:sz w:val="22"/>
          <w:szCs w:val="22"/>
        </w:rPr>
        <w:t>în</w:t>
      </w:r>
      <w:proofErr w:type="spellEnd"/>
      <w:r w:rsidRPr="008441D3">
        <w:rPr>
          <w:rFonts w:ascii="Arial" w:hAnsi="Arial" w:cs="Arial"/>
          <w:sz w:val="22"/>
          <w:szCs w:val="22"/>
        </w:rPr>
        <w:t xml:space="preserve"> </w:t>
      </w:r>
      <w:proofErr w:type="spellStart"/>
      <w:r w:rsidRPr="008441D3">
        <w:rPr>
          <w:rFonts w:ascii="Arial" w:hAnsi="Arial" w:cs="Arial"/>
          <w:sz w:val="22"/>
          <w:szCs w:val="22"/>
        </w:rPr>
        <w:t>cursul</w:t>
      </w:r>
      <w:proofErr w:type="spellEnd"/>
      <w:r w:rsidRPr="008441D3">
        <w:rPr>
          <w:rFonts w:ascii="Arial" w:hAnsi="Arial" w:cs="Arial"/>
          <w:sz w:val="22"/>
          <w:szCs w:val="22"/>
        </w:rPr>
        <w:t xml:space="preserve"> </w:t>
      </w:r>
      <w:proofErr w:type="spellStart"/>
      <w:r w:rsidRPr="008441D3">
        <w:rPr>
          <w:rFonts w:ascii="Arial" w:hAnsi="Arial" w:cs="Arial"/>
          <w:sz w:val="22"/>
          <w:szCs w:val="22"/>
        </w:rPr>
        <w:t>lunii</w:t>
      </w:r>
      <w:proofErr w:type="spellEnd"/>
      <w:r w:rsidRPr="008441D3">
        <w:rPr>
          <w:rFonts w:ascii="Arial" w:hAnsi="Arial" w:cs="Arial"/>
          <w:sz w:val="22"/>
          <w:szCs w:val="22"/>
        </w:rPr>
        <w:t xml:space="preserve"> (</w:t>
      </w:r>
      <w:proofErr w:type="spellStart"/>
      <w:r w:rsidRPr="008441D3">
        <w:rPr>
          <w:rFonts w:ascii="Arial" w:hAnsi="Arial" w:cs="Arial"/>
          <w:sz w:val="22"/>
          <w:szCs w:val="22"/>
        </w:rPr>
        <w:t>Ci</w:t>
      </w:r>
      <w:proofErr w:type="spellEnd"/>
      <w:r w:rsidRPr="008441D3">
        <w:rPr>
          <w:rFonts w:ascii="Arial" w:hAnsi="Arial" w:cs="Arial"/>
          <w:sz w:val="22"/>
          <w:szCs w:val="22"/>
        </w:rPr>
        <w:t>)</w:t>
      </w:r>
    </w:p>
    <w:p w:rsidR="008441D3" w:rsidRPr="008441D3" w:rsidRDefault="008441D3" w:rsidP="008441D3">
      <w:pPr>
        <w:ind w:firstLine="720"/>
        <w:jc w:val="both"/>
        <w:rPr>
          <w:rFonts w:ascii="Arial" w:hAnsi="Arial" w:cs="Arial"/>
          <w:sz w:val="22"/>
          <w:szCs w:val="22"/>
          <w:lang w:val="it-IT"/>
        </w:rPr>
      </w:pPr>
    </w:p>
    <w:p w:rsidR="008441D3" w:rsidRPr="008441D3" w:rsidRDefault="008441D3" w:rsidP="008441D3">
      <w:pPr>
        <w:ind w:firstLine="720"/>
        <w:jc w:val="both"/>
        <w:rPr>
          <w:rFonts w:ascii="Arial" w:hAnsi="Arial" w:cs="Arial"/>
          <w:sz w:val="22"/>
          <w:szCs w:val="22"/>
          <w:lang w:val="it-IT"/>
        </w:rPr>
      </w:pPr>
      <w:r w:rsidRPr="008441D3">
        <w:rPr>
          <w:rFonts w:ascii="Arial" w:hAnsi="Arial" w:cs="Arial"/>
          <w:sz w:val="22"/>
          <w:szCs w:val="22"/>
          <w:lang w:val="it-IT"/>
        </w:rPr>
        <w:t>Metoda FIFO (,, primul intrat – primul ieşit “ ) presupune ca stocurile ieşite din gestiune să se evalueaza la costul de achiziţie al primului lot intrat. Pe măsura epuizării lotului, stocurile ieşite se evaluează la costul de achiziţie al lotului următor în ordine cronologică.</w:t>
      </w:r>
    </w:p>
    <w:p w:rsidR="008441D3" w:rsidRPr="008441D3" w:rsidRDefault="008441D3" w:rsidP="008441D3">
      <w:pPr>
        <w:ind w:firstLine="720"/>
        <w:jc w:val="both"/>
        <w:rPr>
          <w:rFonts w:ascii="Arial" w:hAnsi="Arial" w:cs="Arial"/>
          <w:b/>
          <w:sz w:val="22"/>
          <w:szCs w:val="22"/>
          <w:lang w:val="ro-RO"/>
        </w:rPr>
      </w:pPr>
      <w:r w:rsidRPr="008441D3">
        <w:rPr>
          <w:rFonts w:ascii="Arial" w:hAnsi="Arial" w:cs="Arial"/>
          <w:sz w:val="22"/>
          <w:szCs w:val="22"/>
          <w:lang w:val="it-IT"/>
        </w:rPr>
        <w:lastRenderedPageBreak/>
        <w:t>Metoda LIFO (,,ultimul intrat – primul ieşit” )</w:t>
      </w:r>
      <w:r w:rsidRPr="008441D3">
        <w:rPr>
          <w:rFonts w:ascii="Arial" w:hAnsi="Arial" w:cs="Arial"/>
          <w:b/>
          <w:sz w:val="22"/>
          <w:szCs w:val="22"/>
          <w:lang w:val="it-IT"/>
        </w:rPr>
        <w:t xml:space="preserve"> </w:t>
      </w:r>
      <w:r w:rsidRPr="008441D3">
        <w:rPr>
          <w:rFonts w:ascii="Arial" w:hAnsi="Arial" w:cs="Arial"/>
          <w:sz w:val="22"/>
          <w:szCs w:val="22"/>
          <w:lang w:val="ro-RO"/>
        </w:rPr>
        <w:t>presupune ca stocurile ieşite din gestiune să se evalueze la costul de achiziţie al ultimei intrări. Pe măsura epuizării lotului, stocurile ieşite se evaluează la costul de achiziţie al lotului anterior, în ordine invers cronologică.</w:t>
      </w:r>
    </w:p>
    <w:p w:rsidR="008441D3" w:rsidRPr="008441D3" w:rsidRDefault="008441D3" w:rsidP="008441D3">
      <w:pPr>
        <w:ind w:firstLine="720"/>
        <w:jc w:val="both"/>
        <w:rPr>
          <w:rFonts w:ascii="Arial" w:hAnsi="Arial" w:cs="Arial"/>
          <w:b/>
          <w:sz w:val="22"/>
          <w:szCs w:val="22"/>
          <w:lang w:val="ro-RO"/>
        </w:rPr>
      </w:pPr>
      <w:r w:rsidRPr="008441D3">
        <w:rPr>
          <w:rFonts w:ascii="Arial" w:hAnsi="Arial" w:cs="Arial"/>
          <w:sz w:val="22"/>
          <w:szCs w:val="22"/>
          <w:lang w:val="ro-RO"/>
        </w:rPr>
        <w:t>Metoda preţului prestabilit (standard)</w:t>
      </w:r>
      <w:r w:rsidRPr="008441D3">
        <w:rPr>
          <w:rFonts w:ascii="Arial" w:hAnsi="Arial" w:cs="Arial"/>
          <w:b/>
          <w:sz w:val="22"/>
          <w:szCs w:val="22"/>
          <w:lang w:val="ro-RO"/>
        </w:rPr>
        <w:t xml:space="preserve"> </w:t>
      </w:r>
      <w:r w:rsidRPr="008441D3">
        <w:rPr>
          <w:rFonts w:ascii="Arial" w:hAnsi="Arial" w:cs="Arial"/>
          <w:sz w:val="22"/>
          <w:szCs w:val="22"/>
          <w:lang w:val="ro-RO"/>
        </w:rPr>
        <w:t>constă în evaluarea şi înregistrarea stocurilor, atât la intrarea în patrimoniu, cât şi la ieşire, la preţuri standard (prestabilite) cu condiţia evidenţierii distincte a diferenţelor de preţ faţă de costul  de achiziţie sau costul de producţie, după caz. Aceste diferenţe de preţ se stabilesc şi se înregistrează distinct cu ocazia intrării stocurilor în patrimoniu şi se repartizează proporţional asupra valorii stocurilor ieşite.</w:t>
      </w:r>
    </w:p>
    <w:p w:rsidR="008441D3" w:rsidRPr="008441D3" w:rsidRDefault="008441D3" w:rsidP="008441D3">
      <w:pPr>
        <w:pStyle w:val="Default"/>
        <w:numPr>
          <w:ilvl w:val="0"/>
          <w:numId w:val="3"/>
        </w:numPr>
        <w:tabs>
          <w:tab w:val="left" w:pos="567"/>
        </w:tabs>
        <w:ind w:left="0" w:firstLine="720"/>
        <w:jc w:val="both"/>
        <w:rPr>
          <w:b/>
          <w:i/>
          <w:sz w:val="22"/>
          <w:szCs w:val="22"/>
          <w:lang w:val="fr-FR"/>
        </w:rPr>
      </w:pPr>
    </w:p>
    <w:p w:rsidR="008441D3" w:rsidRPr="008441D3" w:rsidRDefault="008441D3" w:rsidP="008441D3">
      <w:pPr>
        <w:pStyle w:val="NoSpacing1"/>
        <w:ind w:firstLine="567"/>
        <w:rPr>
          <w:rFonts w:ascii="Arial" w:hAnsi="Arial" w:cs="Arial"/>
          <w:sz w:val="22"/>
          <w:szCs w:val="22"/>
        </w:rPr>
      </w:pPr>
      <w:r w:rsidRPr="008441D3">
        <w:rPr>
          <w:rFonts w:ascii="Arial" w:hAnsi="Arial" w:cs="Arial"/>
          <w:sz w:val="22"/>
          <w:szCs w:val="22"/>
        </w:rPr>
        <w:t>Metode de organizare a contabilităţii stocurilor de materii prime:</w:t>
      </w:r>
    </w:p>
    <w:p w:rsidR="008441D3" w:rsidRPr="008441D3" w:rsidRDefault="008441D3" w:rsidP="008441D3">
      <w:pPr>
        <w:pStyle w:val="NoSpacing1"/>
        <w:numPr>
          <w:ilvl w:val="0"/>
          <w:numId w:val="2"/>
        </w:numPr>
        <w:ind w:left="0"/>
        <w:rPr>
          <w:rFonts w:ascii="Arial" w:hAnsi="Arial" w:cs="Arial"/>
          <w:sz w:val="22"/>
          <w:szCs w:val="22"/>
        </w:rPr>
      </w:pPr>
      <w:r w:rsidRPr="008441D3">
        <w:rPr>
          <w:rFonts w:ascii="Arial" w:hAnsi="Arial" w:cs="Arial"/>
          <w:sz w:val="22"/>
          <w:szCs w:val="22"/>
        </w:rPr>
        <w:t>metoda inventarului permanent</w:t>
      </w:r>
    </w:p>
    <w:p w:rsidR="008441D3" w:rsidRPr="008441D3" w:rsidRDefault="008441D3" w:rsidP="008441D3">
      <w:pPr>
        <w:pStyle w:val="NoSpacing1"/>
        <w:numPr>
          <w:ilvl w:val="0"/>
          <w:numId w:val="2"/>
        </w:numPr>
        <w:ind w:left="0"/>
        <w:rPr>
          <w:rFonts w:ascii="Arial" w:hAnsi="Arial" w:cs="Arial"/>
          <w:sz w:val="22"/>
          <w:szCs w:val="22"/>
        </w:rPr>
      </w:pPr>
      <w:r w:rsidRPr="008441D3">
        <w:rPr>
          <w:rFonts w:ascii="Arial" w:hAnsi="Arial" w:cs="Arial"/>
          <w:sz w:val="22"/>
          <w:szCs w:val="22"/>
        </w:rPr>
        <w:t>metoda inventarului intermitent</w:t>
      </w:r>
    </w:p>
    <w:p w:rsidR="008441D3" w:rsidRPr="008441D3" w:rsidRDefault="008441D3" w:rsidP="008441D3">
      <w:pPr>
        <w:pStyle w:val="Default"/>
        <w:numPr>
          <w:ilvl w:val="0"/>
          <w:numId w:val="3"/>
        </w:numPr>
        <w:tabs>
          <w:tab w:val="left" w:pos="567"/>
        </w:tabs>
        <w:ind w:left="0" w:firstLine="720"/>
        <w:jc w:val="both"/>
        <w:rPr>
          <w:b/>
          <w:sz w:val="22"/>
          <w:szCs w:val="22"/>
        </w:rPr>
      </w:pPr>
      <w:r w:rsidRPr="008441D3">
        <w:rPr>
          <w:b/>
          <w:sz w:val="22"/>
          <w:szCs w:val="22"/>
        </w:rPr>
        <w:t xml:space="preserve"> </w:t>
      </w:r>
    </w:p>
    <w:p w:rsidR="008441D3" w:rsidRPr="008441D3" w:rsidRDefault="008441D3" w:rsidP="008441D3">
      <w:pPr>
        <w:ind w:firstLine="567"/>
        <w:jc w:val="both"/>
        <w:rPr>
          <w:rFonts w:ascii="Arial" w:hAnsi="Arial" w:cs="Arial"/>
          <w:sz w:val="22"/>
          <w:szCs w:val="22"/>
          <w:lang w:val="it-IT"/>
        </w:rPr>
      </w:pPr>
      <w:proofErr w:type="spellStart"/>
      <w:r w:rsidRPr="008441D3">
        <w:rPr>
          <w:rFonts w:ascii="Arial" w:hAnsi="Arial" w:cs="Arial"/>
          <w:sz w:val="22"/>
          <w:szCs w:val="22"/>
        </w:rPr>
        <w:t>Contul</w:t>
      </w:r>
      <w:proofErr w:type="spellEnd"/>
      <w:r w:rsidRPr="008441D3">
        <w:rPr>
          <w:rFonts w:ascii="Arial" w:hAnsi="Arial" w:cs="Arial"/>
          <w:sz w:val="22"/>
          <w:szCs w:val="22"/>
        </w:rPr>
        <w:t xml:space="preserve"> </w:t>
      </w:r>
      <w:r w:rsidRPr="008441D3">
        <w:rPr>
          <w:rFonts w:ascii="Arial" w:hAnsi="Arial" w:cs="Arial"/>
          <w:sz w:val="22"/>
          <w:szCs w:val="22"/>
          <w:lang w:val="it-IT"/>
        </w:rPr>
        <w:t xml:space="preserve">301 „Materii prime” </w:t>
      </w:r>
      <w:proofErr w:type="gramStart"/>
      <w:r w:rsidRPr="008441D3">
        <w:rPr>
          <w:rFonts w:ascii="Arial" w:hAnsi="Arial" w:cs="Arial"/>
          <w:sz w:val="22"/>
          <w:szCs w:val="22"/>
          <w:lang w:val="it-IT"/>
        </w:rPr>
        <w:t>este</w:t>
      </w:r>
      <w:proofErr w:type="gramEnd"/>
      <w:r w:rsidRPr="008441D3">
        <w:rPr>
          <w:rFonts w:ascii="Arial" w:hAnsi="Arial" w:cs="Arial"/>
          <w:sz w:val="22"/>
          <w:szCs w:val="22"/>
          <w:lang w:val="it-IT"/>
        </w:rPr>
        <w:t>, după conţinutul economic, un cont de active circulante.</w:t>
      </w:r>
    </w:p>
    <w:p w:rsidR="008441D3" w:rsidRPr="008441D3" w:rsidRDefault="008441D3" w:rsidP="008441D3">
      <w:pPr>
        <w:ind w:firstLine="567"/>
        <w:jc w:val="both"/>
        <w:rPr>
          <w:rFonts w:ascii="Arial" w:hAnsi="Arial" w:cs="Arial"/>
          <w:sz w:val="22"/>
          <w:szCs w:val="22"/>
          <w:lang w:val="it-IT"/>
        </w:rPr>
      </w:pPr>
      <w:proofErr w:type="spellStart"/>
      <w:r w:rsidRPr="008441D3">
        <w:rPr>
          <w:rFonts w:ascii="Arial" w:hAnsi="Arial" w:cs="Arial"/>
          <w:sz w:val="22"/>
          <w:szCs w:val="22"/>
        </w:rPr>
        <w:t>Contul</w:t>
      </w:r>
      <w:proofErr w:type="spellEnd"/>
      <w:r w:rsidRPr="008441D3">
        <w:rPr>
          <w:rFonts w:ascii="Arial" w:hAnsi="Arial" w:cs="Arial"/>
          <w:sz w:val="22"/>
          <w:szCs w:val="22"/>
        </w:rPr>
        <w:t xml:space="preserve"> </w:t>
      </w:r>
      <w:r w:rsidRPr="008441D3">
        <w:rPr>
          <w:rFonts w:ascii="Arial" w:hAnsi="Arial" w:cs="Arial"/>
          <w:sz w:val="22"/>
          <w:szCs w:val="22"/>
          <w:lang w:val="it-IT"/>
        </w:rPr>
        <w:t xml:space="preserve">301 „Materii prime” </w:t>
      </w:r>
      <w:proofErr w:type="gramStart"/>
      <w:r w:rsidRPr="008441D3">
        <w:rPr>
          <w:rFonts w:ascii="Arial" w:hAnsi="Arial" w:cs="Arial"/>
          <w:sz w:val="22"/>
          <w:szCs w:val="22"/>
          <w:lang w:val="it-IT"/>
        </w:rPr>
        <w:t>are</w:t>
      </w:r>
      <w:proofErr w:type="gramEnd"/>
      <w:r w:rsidRPr="008441D3">
        <w:rPr>
          <w:rFonts w:ascii="Arial" w:hAnsi="Arial" w:cs="Arial"/>
          <w:sz w:val="22"/>
          <w:szCs w:val="22"/>
          <w:lang w:val="it-IT"/>
        </w:rPr>
        <w:t xml:space="preserve"> funcţie contabilă de activ.</w:t>
      </w:r>
    </w:p>
    <w:p w:rsidR="008441D3" w:rsidRPr="008441D3" w:rsidRDefault="008441D3" w:rsidP="008441D3">
      <w:pPr>
        <w:ind w:firstLine="567"/>
        <w:jc w:val="both"/>
        <w:rPr>
          <w:rFonts w:ascii="Arial" w:hAnsi="Arial" w:cs="Arial"/>
          <w:sz w:val="22"/>
          <w:szCs w:val="22"/>
          <w:lang w:val="it-IT"/>
        </w:rPr>
      </w:pPr>
      <w:r w:rsidRPr="008441D3">
        <w:rPr>
          <w:rFonts w:ascii="Arial" w:hAnsi="Arial" w:cs="Arial"/>
          <w:sz w:val="22"/>
          <w:szCs w:val="22"/>
          <w:lang w:val="it-IT"/>
        </w:rPr>
        <w:t xml:space="preserve">Se debitează cu valoarea stocurilor de materii prime intrate în gestiunea unităţii patrimoniale prin achiziţionarea de la furnizori, aduse ca aport la capital sau din alte surse. </w:t>
      </w:r>
    </w:p>
    <w:p w:rsidR="008441D3" w:rsidRPr="008441D3" w:rsidRDefault="008441D3" w:rsidP="008441D3">
      <w:pPr>
        <w:ind w:firstLine="567"/>
        <w:jc w:val="both"/>
        <w:rPr>
          <w:rFonts w:ascii="Arial" w:hAnsi="Arial" w:cs="Arial"/>
          <w:sz w:val="22"/>
          <w:szCs w:val="22"/>
          <w:lang w:val="it-IT"/>
        </w:rPr>
      </w:pPr>
      <w:r w:rsidRPr="008441D3">
        <w:rPr>
          <w:rFonts w:ascii="Arial" w:hAnsi="Arial" w:cs="Arial"/>
          <w:sz w:val="22"/>
          <w:szCs w:val="22"/>
          <w:lang w:val="it-IT"/>
        </w:rPr>
        <w:t>Se creditează cu valoarea stocurilor de materii prime ieşite din gestiunea unităţii patrimoniale prin consum sau alte destinaţii.</w:t>
      </w:r>
    </w:p>
    <w:p w:rsidR="008441D3" w:rsidRPr="008441D3" w:rsidRDefault="008441D3" w:rsidP="008441D3">
      <w:pPr>
        <w:ind w:firstLine="567"/>
        <w:jc w:val="both"/>
        <w:rPr>
          <w:rFonts w:ascii="Arial" w:hAnsi="Arial" w:cs="Arial"/>
          <w:sz w:val="22"/>
          <w:szCs w:val="22"/>
          <w:lang w:val="it-IT"/>
        </w:rPr>
      </w:pPr>
      <w:r w:rsidRPr="008441D3">
        <w:rPr>
          <w:rFonts w:ascii="Arial" w:hAnsi="Arial" w:cs="Arial"/>
          <w:sz w:val="22"/>
          <w:szCs w:val="22"/>
          <w:lang w:val="it-IT"/>
        </w:rPr>
        <w:t>Soldul final este debitor şi reprezintă valoarea stocurilor de materii prime aflate în gestiunea unităţii la un moment dat.</w:t>
      </w:r>
    </w:p>
    <w:p w:rsidR="008441D3" w:rsidRPr="008441D3" w:rsidRDefault="008441D3" w:rsidP="008441D3">
      <w:pPr>
        <w:ind w:firstLine="567"/>
        <w:jc w:val="both"/>
        <w:rPr>
          <w:rFonts w:ascii="Arial" w:hAnsi="Arial" w:cs="Arial"/>
          <w:sz w:val="22"/>
          <w:szCs w:val="22"/>
          <w:lang w:val="it-IT"/>
        </w:rPr>
      </w:pPr>
    </w:p>
    <w:p w:rsidR="008441D3" w:rsidRPr="008441D3" w:rsidRDefault="008441D3" w:rsidP="008441D3">
      <w:pPr>
        <w:pStyle w:val="ListParagraph"/>
        <w:numPr>
          <w:ilvl w:val="0"/>
          <w:numId w:val="7"/>
        </w:numPr>
        <w:rPr>
          <w:rFonts w:ascii="Arial" w:hAnsi="Arial" w:cs="Arial"/>
          <w:sz w:val="22"/>
          <w:szCs w:val="22"/>
        </w:rPr>
      </w:pPr>
      <w:r w:rsidRPr="008441D3">
        <w:rPr>
          <w:rFonts w:ascii="Arial" w:hAnsi="Arial" w:cs="Arial"/>
          <w:sz w:val="22"/>
          <w:szCs w:val="22"/>
        </w:rPr>
        <w:t xml:space="preserve">Elaboraţi un eseu având următorul titlu: </w:t>
      </w:r>
      <w:r w:rsidRPr="008441D3">
        <w:rPr>
          <w:rFonts w:ascii="Arial" w:hAnsi="Arial" w:cs="Arial"/>
          <w:b/>
          <w:i/>
          <w:iCs/>
          <w:sz w:val="22"/>
          <w:szCs w:val="22"/>
        </w:rPr>
        <w:t>Înregistrarea în contabilitate a mărfurilor cu amanuntul</w:t>
      </w:r>
      <w:r w:rsidRPr="008441D3">
        <w:rPr>
          <w:rFonts w:ascii="Arial" w:hAnsi="Arial" w:cs="Arial"/>
          <w:b/>
          <w:sz w:val="22"/>
          <w:szCs w:val="22"/>
        </w:rPr>
        <w:t>.</w:t>
      </w:r>
      <w:r w:rsidRPr="008441D3">
        <w:rPr>
          <w:rFonts w:ascii="Arial" w:hAnsi="Arial" w:cs="Arial"/>
          <w:sz w:val="22"/>
          <w:szCs w:val="22"/>
        </w:rPr>
        <w:t xml:space="preserve"> La realizarea eseului se va  avea în vedere următoarele aspecte:</w:t>
      </w:r>
    </w:p>
    <w:p w:rsidR="008441D3" w:rsidRPr="008441D3" w:rsidRDefault="008441D3" w:rsidP="008441D3">
      <w:pPr>
        <w:pStyle w:val="Default"/>
        <w:numPr>
          <w:ilvl w:val="0"/>
          <w:numId w:val="4"/>
        </w:numPr>
        <w:suppressAutoHyphens/>
        <w:adjustRightInd/>
        <w:ind w:left="0" w:firstLine="709"/>
        <w:jc w:val="both"/>
        <w:textAlignment w:val="baseline"/>
        <w:rPr>
          <w:sz w:val="22"/>
          <w:szCs w:val="22"/>
        </w:rPr>
      </w:pPr>
      <w:r w:rsidRPr="008441D3">
        <w:rPr>
          <w:sz w:val="22"/>
          <w:szCs w:val="22"/>
        </w:rPr>
        <w:t xml:space="preserve">definirea mărfurilor; </w:t>
      </w:r>
    </w:p>
    <w:p w:rsidR="008441D3" w:rsidRPr="008441D3" w:rsidRDefault="008441D3" w:rsidP="008441D3">
      <w:pPr>
        <w:pStyle w:val="Default"/>
        <w:numPr>
          <w:ilvl w:val="0"/>
          <w:numId w:val="4"/>
        </w:numPr>
        <w:suppressAutoHyphens/>
        <w:adjustRightInd/>
        <w:ind w:left="0" w:firstLine="709"/>
        <w:jc w:val="both"/>
        <w:textAlignment w:val="baseline"/>
        <w:rPr>
          <w:sz w:val="22"/>
          <w:szCs w:val="22"/>
        </w:rPr>
      </w:pPr>
      <w:r w:rsidRPr="008441D3">
        <w:rPr>
          <w:sz w:val="22"/>
          <w:szCs w:val="22"/>
        </w:rPr>
        <w:t xml:space="preserve">elementele şi modul de calcul al preţului cu amănuntul; </w:t>
      </w:r>
    </w:p>
    <w:p w:rsidR="008441D3" w:rsidRPr="008441D3" w:rsidRDefault="008441D3" w:rsidP="008441D3">
      <w:pPr>
        <w:pStyle w:val="Default"/>
        <w:numPr>
          <w:ilvl w:val="0"/>
          <w:numId w:val="4"/>
        </w:numPr>
        <w:suppressAutoHyphens/>
        <w:adjustRightInd/>
        <w:ind w:left="0" w:firstLine="709"/>
        <w:jc w:val="both"/>
        <w:textAlignment w:val="baseline"/>
        <w:rPr>
          <w:sz w:val="22"/>
          <w:szCs w:val="22"/>
        </w:rPr>
      </w:pPr>
      <w:r w:rsidRPr="008441D3">
        <w:rPr>
          <w:sz w:val="22"/>
          <w:szCs w:val="22"/>
        </w:rPr>
        <w:t xml:space="preserve">conturi utilizate; </w:t>
      </w:r>
    </w:p>
    <w:p w:rsidR="008441D3" w:rsidRPr="008441D3" w:rsidRDefault="008441D3" w:rsidP="008441D3">
      <w:pPr>
        <w:pStyle w:val="Default"/>
        <w:numPr>
          <w:ilvl w:val="0"/>
          <w:numId w:val="4"/>
        </w:numPr>
        <w:suppressAutoHyphens/>
        <w:adjustRightInd/>
        <w:ind w:left="0" w:firstLine="709"/>
        <w:jc w:val="both"/>
        <w:textAlignment w:val="baseline"/>
        <w:rPr>
          <w:sz w:val="22"/>
          <w:szCs w:val="22"/>
        </w:rPr>
      </w:pPr>
      <w:r w:rsidRPr="008441D3">
        <w:rPr>
          <w:sz w:val="22"/>
          <w:szCs w:val="22"/>
        </w:rPr>
        <w:t xml:space="preserve">formula coeficientului de repartizare K; </w:t>
      </w:r>
    </w:p>
    <w:p w:rsidR="008441D3" w:rsidRPr="008441D3" w:rsidRDefault="008441D3" w:rsidP="008441D3">
      <w:pPr>
        <w:pStyle w:val="Default"/>
        <w:numPr>
          <w:ilvl w:val="0"/>
          <w:numId w:val="4"/>
        </w:numPr>
        <w:suppressAutoHyphens/>
        <w:adjustRightInd/>
        <w:ind w:left="0" w:firstLine="709"/>
        <w:jc w:val="both"/>
        <w:textAlignment w:val="baseline"/>
        <w:rPr>
          <w:sz w:val="22"/>
          <w:szCs w:val="22"/>
        </w:rPr>
      </w:pPr>
      <w:r w:rsidRPr="008441D3">
        <w:rPr>
          <w:sz w:val="22"/>
          <w:szCs w:val="22"/>
        </w:rPr>
        <w:t xml:space="preserve">prezentarea principalelor înregistrări contabile. </w:t>
      </w:r>
    </w:p>
    <w:p w:rsidR="008441D3" w:rsidRPr="008441D3" w:rsidRDefault="008441D3" w:rsidP="008441D3">
      <w:pPr>
        <w:ind w:firstLine="709"/>
        <w:jc w:val="both"/>
        <w:rPr>
          <w:rFonts w:ascii="Arial" w:hAnsi="Arial" w:cs="Arial"/>
          <w:sz w:val="22"/>
          <w:szCs w:val="22"/>
          <w:lang w:val="it-IT"/>
        </w:rPr>
      </w:pPr>
    </w:p>
    <w:p w:rsidR="008441D3" w:rsidRPr="008441D3" w:rsidRDefault="008441D3" w:rsidP="008441D3">
      <w:pPr>
        <w:pStyle w:val="NoSpacing1"/>
        <w:ind w:firstLine="709"/>
        <w:rPr>
          <w:rFonts w:ascii="Arial" w:hAnsi="Arial" w:cs="Arial"/>
          <w:b/>
          <w:caps/>
          <w:sz w:val="22"/>
          <w:szCs w:val="22"/>
        </w:rPr>
      </w:pPr>
    </w:p>
    <w:p w:rsidR="008441D3" w:rsidRPr="008441D3" w:rsidRDefault="008441D3" w:rsidP="008441D3">
      <w:pPr>
        <w:pStyle w:val="Default"/>
        <w:ind w:firstLine="709"/>
        <w:jc w:val="both"/>
        <w:rPr>
          <w:sz w:val="22"/>
          <w:szCs w:val="22"/>
        </w:rPr>
      </w:pPr>
    </w:p>
    <w:p w:rsidR="008441D3" w:rsidRPr="00D15642" w:rsidRDefault="008441D3" w:rsidP="008441D3">
      <w:pPr>
        <w:pStyle w:val="ListParagraph"/>
        <w:rPr>
          <w:rFonts w:ascii="Arial" w:hAnsi="Arial" w:cs="Arial"/>
          <w:b/>
          <w:sz w:val="22"/>
          <w:szCs w:val="22"/>
          <w:lang w:val="it-IT"/>
        </w:rPr>
      </w:pPr>
      <w:r w:rsidRPr="00D15642">
        <w:rPr>
          <w:rFonts w:ascii="Arial" w:hAnsi="Arial" w:cs="Arial"/>
          <w:b/>
          <w:sz w:val="22"/>
          <w:szCs w:val="22"/>
          <w:lang w:val="it-IT"/>
        </w:rPr>
        <w:t>Nivelul de dificultate: ridicat</w:t>
      </w:r>
    </w:p>
    <w:p w:rsidR="008441D3" w:rsidRPr="00D15642" w:rsidRDefault="008441D3" w:rsidP="008441D3">
      <w:pPr>
        <w:pStyle w:val="ListParagraph"/>
        <w:rPr>
          <w:rFonts w:ascii="Arial" w:hAnsi="Arial" w:cs="Arial"/>
          <w:b/>
          <w:sz w:val="22"/>
          <w:szCs w:val="22"/>
        </w:rPr>
      </w:pPr>
      <w:r w:rsidRPr="00D15642">
        <w:rPr>
          <w:rFonts w:ascii="Arial" w:hAnsi="Arial" w:cs="Arial"/>
          <w:b/>
          <w:sz w:val="22"/>
          <w:szCs w:val="22"/>
          <w:lang w:val="it-IT"/>
        </w:rPr>
        <w:t xml:space="preserve">Răspuns: </w:t>
      </w:r>
      <w:r w:rsidRPr="00D15642">
        <w:rPr>
          <w:rFonts w:ascii="Arial" w:hAnsi="Arial" w:cs="Arial"/>
          <w:b/>
          <w:sz w:val="22"/>
          <w:szCs w:val="22"/>
        </w:rPr>
        <w:t xml:space="preserve"> </w:t>
      </w:r>
    </w:p>
    <w:p w:rsidR="008441D3" w:rsidRPr="008441D3" w:rsidRDefault="008441D3" w:rsidP="008441D3">
      <w:pPr>
        <w:jc w:val="both"/>
        <w:rPr>
          <w:rFonts w:ascii="Arial" w:hAnsi="Arial" w:cs="Arial"/>
          <w:i/>
          <w:sz w:val="22"/>
          <w:szCs w:val="22"/>
        </w:rPr>
      </w:pPr>
      <w:r>
        <w:rPr>
          <w:rFonts w:ascii="Arial" w:hAnsi="Arial" w:cs="Arial"/>
          <w:i/>
          <w:sz w:val="22"/>
          <w:szCs w:val="22"/>
        </w:rPr>
        <w:t xml:space="preserve">         </w:t>
      </w:r>
      <w:proofErr w:type="gramStart"/>
      <w:r w:rsidRPr="008441D3">
        <w:rPr>
          <w:rFonts w:ascii="Arial" w:hAnsi="Arial" w:cs="Arial"/>
          <w:i/>
          <w:sz w:val="22"/>
          <w:szCs w:val="22"/>
        </w:rPr>
        <w:t>NOTA :Se</w:t>
      </w:r>
      <w:proofErr w:type="gramEnd"/>
      <w:r w:rsidRPr="008441D3">
        <w:rPr>
          <w:rFonts w:ascii="Arial" w:hAnsi="Arial" w:cs="Arial"/>
          <w:i/>
          <w:sz w:val="22"/>
          <w:szCs w:val="22"/>
        </w:rPr>
        <w:t xml:space="preserve"> </w:t>
      </w:r>
      <w:proofErr w:type="spellStart"/>
      <w:r w:rsidRPr="008441D3">
        <w:rPr>
          <w:rFonts w:ascii="Arial" w:hAnsi="Arial" w:cs="Arial"/>
          <w:i/>
          <w:sz w:val="22"/>
          <w:szCs w:val="22"/>
        </w:rPr>
        <w:t>punctează</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orice</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formulare</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şi</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caracterizare</w:t>
      </w:r>
      <w:proofErr w:type="spellEnd"/>
      <w:r w:rsidRPr="008441D3">
        <w:rPr>
          <w:rFonts w:ascii="Arial" w:hAnsi="Arial" w:cs="Arial"/>
          <w:i/>
          <w:sz w:val="22"/>
          <w:szCs w:val="22"/>
        </w:rPr>
        <w:t xml:space="preserve"> </w:t>
      </w:r>
      <w:proofErr w:type="spellStart"/>
      <w:r w:rsidRPr="008441D3">
        <w:rPr>
          <w:rFonts w:ascii="Arial" w:hAnsi="Arial" w:cs="Arial"/>
          <w:i/>
          <w:sz w:val="22"/>
          <w:szCs w:val="22"/>
        </w:rPr>
        <w:t>corecte</w:t>
      </w:r>
      <w:proofErr w:type="spellEnd"/>
      <w:r w:rsidRPr="008441D3">
        <w:rPr>
          <w:rFonts w:ascii="Arial" w:hAnsi="Arial" w:cs="Arial"/>
          <w:i/>
          <w:sz w:val="22"/>
          <w:szCs w:val="22"/>
        </w:rPr>
        <w:t xml:space="preserve">.  </w:t>
      </w:r>
    </w:p>
    <w:p w:rsidR="008441D3" w:rsidRPr="008441D3" w:rsidRDefault="008441D3" w:rsidP="008441D3">
      <w:pPr>
        <w:ind w:firstLine="709"/>
        <w:jc w:val="both"/>
        <w:rPr>
          <w:rFonts w:ascii="Arial" w:hAnsi="Arial" w:cs="Arial"/>
          <w:b/>
          <w:sz w:val="22"/>
          <w:szCs w:val="22"/>
          <w:lang w:val="it-IT"/>
        </w:rPr>
      </w:pPr>
    </w:p>
    <w:p w:rsidR="008441D3" w:rsidRPr="008441D3" w:rsidRDefault="008441D3" w:rsidP="008441D3">
      <w:pPr>
        <w:ind w:firstLine="709"/>
        <w:jc w:val="both"/>
        <w:rPr>
          <w:rFonts w:ascii="Arial" w:hAnsi="Arial" w:cs="Arial"/>
          <w:b/>
          <w:sz w:val="22"/>
          <w:szCs w:val="22"/>
          <w:lang w:val="it-IT"/>
        </w:rPr>
      </w:pPr>
    </w:p>
    <w:p w:rsidR="008441D3" w:rsidRPr="008441D3" w:rsidRDefault="008441D3" w:rsidP="008441D3">
      <w:pPr>
        <w:pStyle w:val="NoSpacing1"/>
        <w:numPr>
          <w:ilvl w:val="0"/>
          <w:numId w:val="5"/>
        </w:numPr>
        <w:suppressAutoHyphens/>
        <w:autoSpaceDN w:val="0"/>
        <w:ind w:left="0" w:firstLine="709"/>
        <w:textAlignment w:val="baseline"/>
        <w:rPr>
          <w:rFonts w:ascii="Arial" w:hAnsi="Arial" w:cs="Arial"/>
          <w:sz w:val="22"/>
          <w:szCs w:val="22"/>
        </w:rPr>
      </w:pPr>
      <w:proofErr w:type="spellStart"/>
      <w:r w:rsidRPr="008441D3">
        <w:rPr>
          <w:rFonts w:ascii="Arial" w:hAnsi="Arial" w:cs="Arial"/>
          <w:b/>
          <w:sz w:val="22"/>
          <w:szCs w:val="22"/>
          <w:lang w:val="en-US"/>
        </w:rPr>
        <w:t>Definiţia</w:t>
      </w:r>
      <w:proofErr w:type="spellEnd"/>
      <w:r w:rsidRPr="008441D3">
        <w:rPr>
          <w:rFonts w:ascii="Arial" w:hAnsi="Arial" w:cs="Arial"/>
          <w:b/>
          <w:sz w:val="22"/>
          <w:szCs w:val="22"/>
          <w:lang w:val="en-US"/>
        </w:rPr>
        <w:t xml:space="preserve">: </w:t>
      </w:r>
      <w:proofErr w:type="spellStart"/>
      <w:r w:rsidRPr="008441D3">
        <w:rPr>
          <w:rFonts w:ascii="Arial" w:hAnsi="Arial" w:cs="Arial"/>
          <w:sz w:val="22"/>
          <w:szCs w:val="22"/>
          <w:lang w:val="en-US"/>
        </w:rPr>
        <w:t>Mărfurile</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sunt</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bunuri</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cumpărate</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în</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scopul</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revânzării</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sau</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sunt</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obtinute</w:t>
      </w:r>
      <w:proofErr w:type="spellEnd"/>
      <w:r w:rsidRPr="008441D3">
        <w:rPr>
          <w:rFonts w:ascii="Arial" w:hAnsi="Arial" w:cs="Arial"/>
          <w:sz w:val="22"/>
          <w:szCs w:val="22"/>
          <w:lang w:val="en-US"/>
        </w:rPr>
        <w:t xml:space="preserve"> din </w:t>
      </w:r>
      <w:proofErr w:type="spellStart"/>
      <w:r w:rsidRPr="008441D3">
        <w:rPr>
          <w:rFonts w:ascii="Arial" w:hAnsi="Arial" w:cs="Arial"/>
          <w:sz w:val="22"/>
          <w:szCs w:val="22"/>
          <w:lang w:val="en-US"/>
        </w:rPr>
        <w:t>productie</w:t>
      </w:r>
      <w:proofErr w:type="spellEnd"/>
      <w:r w:rsidRPr="008441D3">
        <w:rPr>
          <w:rFonts w:ascii="Arial" w:hAnsi="Arial" w:cs="Arial"/>
          <w:sz w:val="22"/>
          <w:szCs w:val="22"/>
          <w:lang w:val="en-US"/>
        </w:rPr>
        <w:t xml:space="preserve"> </w:t>
      </w:r>
      <w:proofErr w:type="spellStart"/>
      <w:r w:rsidRPr="008441D3">
        <w:rPr>
          <w:rFonts w:ascii="Arial" w:hAnsi="Arial" w:cs="Arial"/>
          <w:sz w:val="22"/>
          <w:szCs w:val="22"/>
          <w:lang w:val="en-US"/>
        </w:rPr>
        <w:t>proprie</w:t>
      </w:r>
      <w:proofErr w:type="spellEnd"/>
      <w:r w:rsidRPr="008441D3">
        <w:rPr>
          <w:rFonts w:ascii="Arial" w:hAnsi="Arial" w:cs="Arial"/>
          <w:sz w:val="22"/>
          <w:szCs w:val="22"/>
          <w:lang w:val="en-US"/>
        </w:rPr>
        <w:t xml:space="preserve">.                                        </w:t>
      </w:r>
    </w:p>
    <w:p w:rsidR="008441D3" w:rsidRPr="008441D3" w:rsidRDefault="008441D3" w:rsidP="008441D3">
      <w:pPr>
        <w:pStyle w:val="NoSpacing1"/>
        <w:ind w:firstLine="709"/>
        <w:rPr>
          <w:rFonts w:ascii="Arial" w:hAnsi="Arial" w:cs="Arial"/>
          <w:sz w:val="22"/>
          <w:szCs w:val="22"/>
          <w:lang w:val="en-US"/>
        </w:rPr>
      </w:pPr>
    </w:p>
    <w:p w:rsidR="008441D3" w:rsidRPr="008441D3" w:rsidRDefault="008441D3" w:rsidP="008441D3">
      <w:pPr>
        <w:pStyle w:val="NoSpacing1"/>
        <w:numPr>
          <w:ilvl w:val="0"/>
          <w:numId w:val="5"/>
        </w:numPr>
        <w:suppressAutoHyphens/>
        <w:autoSpaceDN w:val="0"/>
        <w:ind w:left="0" w:firstLine="709"/>
        <w:jc w:val="left"/>
        <w:textAlignment w:val="baseline"/>
        <w:rPr>
          <w:rFonts w:ascii="Arial" w:hAnsi="Arial" w:cs="Arial"/>
          <w:sz w:val="22"/>
          <w:szCs w:val="22"/>
        </w:rPr>
      </w:pPr>
      <w:r w:rsidRPr="008441D3">
        <w:rPr>
          <w:rFonts w:ascii="Arial" w:hAnsi="Arial" w:cs="Arial"/>
          <w:sz w:val="22"/>
          <w:szCs w:val="22"/>
          <w:shd w:val="clear" w:color="auto" w:fill="FFFFFF"/>
        </w:rPr>
        <w:t>Preţul cu amănuntul (Pa) la unităţile plătitoare de TVA, se determină prin relaţia:</w:t>
      </w:r>
      <w:r w:rsidRPr="008441D3">
        <w:rPr>
          <w:rFonts w:ascii="Arial" w:hAnsi="Arial" w:cs="Arial"/>
          <w:sz w:val="22"/>
          <w:szCs w:val="22"/>
          <w:shd w:val="clear" w:color="auto" w:fill="FFFF00"/>
        </w:rPr>
        <w:br/>
      </w:r>
      <w:r w:rsidRPr="008441D3">
        <w:rPr>
          <w:rFonts w:ascii="Arial" w:hAnsi="Arial" w:cs="Arial"/>
          <w:sz w:val="22"/>
          <w:szCs w:val="22"/>
          <w:shd w:val="clear" w:color="auto" w:fill="FFFFFF"/>
        </w:rPr>
        <w:t>Pa = Cost de achiziţie + Adaos + TVA neexigibilă</w:t>
      </w:r>
      <w:r w:rsidRPr="008441D3">
        <w:rPr>
          <w:rFonts w:ascii="Arial" w:hAnsi="Arial" w:cs="Arial"/>
          <w:sz w:val="22"/>
          <w:szCs w:val="22"/>
          <w:shd w:val="clear" w:color="auto" w:fill="FFFFFF"/>
        </w:rPr>
        <w:br/>
        <w:t>Adaosul comercial reprezintă diferenţa dintre preţul de vânzare şi costul de achiziţie, destinat să acopere cheltuielile de circulaţie şi obţinerea unui profit de către comerciant.</w:t>
      </w:r>
      <w:r w:rsidRPr="008441D3">
        <w:rPr>
          <w:rFonts w:ascii="Arial" w:hAnsi="Arial" w:cs="Arial"/>
          <w:sz w:val="22"/>
          <w:szCs w:val="22"/>
          <w:shd w:val="clear" w:color="auto" w:fill="FFFFFF"/>
        </w:rPr>
        <w:br/>
        <w:t>Adaosul comercial = Cost de achiziţie fără TVA X Procentul de adaos</w:t>
      </w:r>
      <w:r w:rsidRPr="008441D3">
        <w:rPr>
          <w:rFonts w:ascii="Arial" w:hAnsi="Arial" w:cs="Arial"/>
          <w:sz w:val="22"/>
          <w:szCs w:val="22"/>
          <w:shd w:val="clear" w:color="auto" w:fill="EFEFEF"/>
        </w:rPr>
        <w:t xml:space="preserve"> </w:t>
      </w:r>
    </w:p>
    <w:p w:rsidR="008441D3" w:rsidRPr="008441D3" w:rsidRDefault="008441D3" w:rsidP="008441D3">
      <w:pPr>
        <w:pStyle w:val="NoSpacing1"/>
        <w:suppressAutoHyphens/>
        <w:autoSpaceDN w:val="0"/>
        <w:ind w:left="709"/>
        <w:jc w:val="left"/>
        <w:textAlignment w:val="baseline"/>
        <w:rPr>
          <w:rFonts w:ascii="Arial" w:hAnsi="Arial" w:cs="Arial"/>
          <w:sz w:val="22"/>
          <w:szCs w:val="22"/>
        </w:rPr>
      </w:pPr>
    </w:p>
    <w:p w:rsidR="008441D3" w:rsidRPr="008441D3" w:rsidRDefault="008441D3" w:rsidP="008441D3">
      <w:pPr>
        <w:pStyle w:val="NormalWeb"/>
        <w:numPr>
          <w:ilvl w:val="0"/>
          <w:numId w:val="5"/>
        </w:numPr>
        <w:shd w:val="clear" w:color="auto" w:fill="FFFFFF"/>
        <w:spacing w:before="0" w:after="0"/>
        <w:ind w:left="0" w:firstLine="709"/>
        <w:jc w:val="both"/>
        <w:rPr>
          <w:rFonts w:ascii="Arial" w:hAnsi="Arial" w:cs="Arial"/>
          <w:sz w:val="22"/>
          <w:szCs w:val="22"/>
        </w:rPr>
      </w:pPr>
      <w:r w:rsidRPr="008441D3">
        <w:rPr>
          <w:rFonts w:ascii="Arial" w:hAnsi="Arial" w:cs="Arial"/>
          <w:sz w:val="22"/>
          <w:szCs w:val="22"/>
        </w:rPr>
        <w:t>Conturi utilizate</w:t>
      </w:r>
      <w:r w:rsidRPr="008441D3">
        <w:rPr>
          <w:rStyle w:val="Strong"/>
          <w:rFonts w:ascii="Arial" w:hAnsi="Arial" w:cs="Arial"/>
          <w:color w:val="000000"/>
          <w:sz w:val="22"/>
          <w:szCs w:val="22"/>
        </w:rPr>
        <w:t xml:space="preserve">                                  </w:t>
      </w:r>
    </w:p>
    <w:p w:rsidR="008441D3" w:rsidRPr="008441D3" w:rsidRDefault="008441D3" w:rsidP="008441D3">
      <w:pPr>
        <w:pStyle w:val="NormalWeb"/>
        <w:shd w:val="clear" w:color="auto" w:fill="FFFFFF"/>
        <w:spacing w:before="0" w:after="0"/>
        <w:ind w:firstLine="709"/>
        <w:jc w:val="both"/>
        <w:rPr>
          <w:rFonts w:ascii="Arial" w:hAnsi="Arial" w:cs="Arial"/>
          <w:sz w:val="22"/>
          <w:szCs w:val="22"/>
        </w:rPr>
      </w:pPr>
      <w:r w:rsidRPr="008441D3">
        <w:rPr>
          <w:rFonts w:ascii="Arial" w:hAnsi="Arial" w:cs="Arial"/>
          <w:sz w:val="22"/>
          <w:szCs w:val="22"/>
        </w:rPr>
        <w:t>371 Mărfuri (A)</w:t>
      </w:r>
    </w:p>
    <w:p w:rsidR="008441D3" w:rsidRPr="008441D3" w:rsidRDefault="008441D3" w:rsidP="008441D3">
      <w:pPr>
        <w:pStyle w:val="NormalWeb"/>
        <w:shd w:val="clear" w:color="auto" w:fill="FFFFFF"/>
        <w:spacing w:before="0" w:after="0"/>
        <w:ind w:firstLine="709"/>
        <w:jc w:val="both"/>
        <w:rPr>
          <w:rFonts w:ascii="Arial" w:hAnsi="Arial" w:cs="Arial"/>
          <w:sz w:val="22"/>
          <w:szCs w:val="22"/>
        </w:rPr>
      </w:pPr>
      <w:r w:rsidRPr="008441D3">
        <w:rPr>
          <w:rFonts w:ascii="Arial" w:hAnsi="Arial" w:cs="Arial"/>
          <w:sz w:val="22"/>
          <w:szCs w:val="22"/>
        </w:rPr>
        <w:t>378 Diferențe de preț la mărfuri(P)</w:t>
      </w:r>
    </w:p>
    <w:p w:rsidR="008441D3" w:rsidRPr="008441D3" w:rsidRDefault="008441D3" w:rsidP="008441D3">
      <w:pPr>
        <w:pStyle w:val="NormalWeb"/>
        <w:shd w:val="clear" w:color="auto" w:fill="FFFFFF"/>
        <w:spacing w:before="0" w:after="0"/>
        <w:ind w:firstLine="709"/>
        <w:jc w:val="both"/>
        <w:rPr>
          <w:rFonts w:ascii="Arial" w:hAnsi="Arial" w:cs="Arial"/>
          <w:sz w:val="22"/>
          <w:szCs w:val="22"/>
        </w:rPr>
      </w:pPr>
      <w:r w:rsidRPr="008441D3">
        <w:rPr>
          <w:rFonts w:ascii="Arial" w:hAnsi="Arial" w:cs="Arial"/>
          <w:sz w:val="22"/>
          <w:szCs w:val="22"/>
        </w:rPr>
        <w:t>4428 TVA neexigibiă(P)</w:t>
      </w:r>
    </w:p>
    <w:p w:rsidR="008441D3" w:rsidRPr="008441D3" w:rsidRDefault="008441D3" w:rsidP="008441D3">
      <w:pPr>
        <w:pStyle w:val="NormalWeb"/>
        <w:shd w:val="clear" w:color="auto" w:fill="FFFFFF"/>
        <w:spacing w:before="0" w:after="0"/>
        <w:ind w:firstLine="709"/>
        <w:jc w:val="both"/>
        <w:rPr>
          <w:rFonts w:ascii="Arial" w:hAnsi="Arial" w:cs="Arial"/>
          <w:sz w:val="22"/>
          <w:szCs w:val="22"/>
        </w:rPr>
      </w:pPr>
      <w:r w:rsidRPr="008441D3">
        <w:rPr>
          <w:rFonts w:ascii="Arial" w:hAnsi="Arial" w:cs="Arial"/>
          <w:sz w:val="22"/>
          <w:szCs w:val="22"/>
        </w:rPr>
        <w:t>607 Cheltuieli privind mărfurile (A)</w:t>
      </w:r>
    </w:p>
    <w:p w:rsidR="008441D3" w:rsidRPr="008441D3" w:rsidRDefault="008441D3" w:rsidP="008441D3">
      <w:pPr>
        <w:pStyle w:val="NormalWeb"/>
        <w:shd w:val="clear" w:color="auto" w:fill="FFFFFF"/>
        <w:spacing w:before="0" w:after="0"/>
        <w:ind w:firstLine="709"/>
        <w:jc w:val="both"/>
        <w:rPr>
          <w:rFonts w:ascii="Arial" w:hAnsi="Arial" w:cs="Arial"/>
          <w:sz w:val="22"/>
          <w:szCs w:val="22"/>
        </w:rPr>
      </w:pPr>
      <w:r w:rsidRPr="008441D3">
        <w:rPr>
          <w:rFonts w:ascii="Arial" w:hAnsi="Arial" w:cs="Arial"/>
          <w:sz w:val="22"/>
          <w:szCs w:val="22"/>
        </w:rPr>
        <w:lastRenderedPageBreak/>
        <w:t>707 Venituri din vânzarea mărfurilor (P)</w:t>
      </w:r>
    </w:p>
    <w:p w:rsidR="008441D3" w:rsidRPr="008441D3" w:rsidRDefault="008441D3" w:rsidP="008441D3">
      <w:pPr>
        <w:pStyle w:val="NormalWeb"/>
        <w:shd w:val="clear" w:color="auto" w:fill="FFFFFF"/>
        <w:spacing w:before="0" w:after="0"/>
        <w:ind w:firstLine="709"/>
        <w:jc w:val="both"/>
        <w:rPr>
          <w:rFonts w:ascii="Arial" w:hAnsi="Arial" w:cs="Arial"/>
          <w:sz w:val="22"/>
          <w:szCs w:val="22"/>
        </w:rPr>
      </w:pPr>
    </w:p>
    <w:p w:rsidR="008441D3" w:rsidRPr="008441D3" w:rsidRDefault="008441D3" w:rsidP="008441D3">
      <w:pPr>
        <w:pStyle w:val="NormalWeb"/>
        <w:numPr>
          <w:ilvl w:val="0"/>
          <w:numId w:val="5"/>
        </w:numPr>
        <w:shd w:val="clear" w:color="auto" w:fill="FFFFFF"/>
        <w:spacing w:before="0" w:after="0"/>
        <w:ind w:left="0" w:firstLine="709"/>
        <w:jc w:val="both"/>
        <w:rPr>
          <w:rFonts w:ascii="Arial" w:hAnsi="Arial" w:cs="Arial"/>
          <w:sz w:val="22"/>
          <w:szCs w:val="22"/>
        </w:rPr>
      </w:pPr>
      <w:r w:rsidRPr="008441D3">
        <w:rPr>
          <w:rFonts w:ascii="Arial" w:hAnsi="Arial" w:cs="Arial"/>
          <w:sz w:val="22"/>
          <w:szCs w:val="22"/>
        </w:rPr>
        <w:t>Formula coeficientului de repartizare K</w:t>
      </w:r>
    </w:p>
    <w:p w:rsidR="008441D3" w:rsidRPr="008441D3" w:rsidRDefault="008441D3" w:rsidP="008441D3">
      <w:pPr>
        <w:pStyle w:val="NormalWeb"/>
        <w:shd w:val="clear" w:color="auto" w:fill="FFFFFF"/>
        <w:spacing w:before="0" w:after="0"/>
        <w:ind w:firstLine="709"/>
        <w:jc w:val="both"/>
        <w:rPr>
          <w:rFonts w:ascii="Arial" w:hAnsi="Arial" w:cs="Arial"/>
          <w:sz w:val="22"/>
          <w:szCs w:val="22"/>
        </w:rPr>
      </w:pPr>
    </w:p>
    <w:p w:rsidR="008441D3" w:rsidRPr="008441D3" w:rsidRDefault="008441D3" w:rsidP="008441D3">
      <w:pPr>
        <w:pStyle w:val="NormalWeb"/>
        <w:shd w:val="clear" w:color="auto" w:fill="FFFFFF"/>
        <w:spacing w:before="0" w:after="0"/>
        <w:ind w:firstLine="709"/>
        <w:jc w:val="both"/>
        <w:rPr>
          <w:rFonts w:ascii="Arial" w:hAnsi="Arial" w:cs="Arial"/>
          <w:b/>
          <w:sz w:val="22"/>
          <w:szCs w:val="22"/>
        </w:rPr>
      </w:pPr>
      <w:r w:rsidRPr="008441D3">
        <w:rPr>
          <w:rStyle w:val="Strong"/>
          <w:rFonts w:ascii="Arial" w:eastAsia="Batang" w:hAnsi="Arial" w:cs="Arial"/>
          <w:b w:val="0"/>
          <w:color w:val="000000"/>
          <w:sz w:val="22"/>
          <w:szCs w:val="22"/>
        </w:rPr>
        <w:t xml:space="preserve">Pentru a se putea descarca gestiunea este necesar a se calcula adaosul mărfurilor vândute. Acest adaos se calculează cu ajutorul coeficientului “K”:   </w:t>
      </w:r>
    </w:p>
    <w:p w:rsidR="008441D3" w:rsidRPr="008441D3" w:rsidRDefault="008441D3" w:rsidP="008441D3">
      <w:pPr>
        <w:pStyle w:val="NormalWeb"/>
        <w:shd w:val="clear" w:color="auto" w:fill="FFFFFF"/>
        <w:spacing w:before="0" w:after="0"/>
        <w:ind w:firstLine="709"/>
        <w:rPr>
          <w:rFonts w:ascii="Arial" w:hAnsi="Arial" w:cs="Arial"/>
          <w:sz w:val="22"/>
          <w:szCs w:val="22"/>
        </w:rPr>
      </w:pPr>
      <w:r w:rsidRPr="008441D3">
        <w:rPr>
          <w:rFonts w:ascii="Arial" w:hAnsi="Arial" w:cs="Arial"/>
          <w:b/>
          <w:bCs/>
          <w:color w:val="000000"/>
          <w:sz w:val="22"/>
          <w:szCs w:val="22"/>
        </w:rPr>
        <w:br/>
      </w:r>
      <w:r w:rsidRPr="008441D3">
        <w:rPr>
          <w:rFonts w:ascii="Arial" w:hAnsi="Arial" w:cs="Arial"/>
          <w:color w:val="000000"/>
          <w:sz w:val="22"/>
          <w:szCs w:val="22"/>
        </w:rPr>
        <w:t>K = (Si 378 + Rc 378) / [ (Si 371 - Si 4428) + (Rd 371 - Rc 4428) ]</w:t>
      </w:r>
      <w:r w:rsidRPr="008441D3">
        <w:rPr>
          <w:rFonts w:ascii="Arial" w:hAnsi="Arial" w:cs="Arial"/>
          <w:color w:val="000000"/>
          <w:sz w:val="22"/>
          <w:szCs w:val="22"/>
        </w:rPr>
        <w:br/>
        <w:t>Acest coeficient K se înmulțește cu valoarea mărfurilor vândute din care s-a scazut cota aferentă de TVA, adică cu rulajul lunar al contului 707.</w:t>
      </w:r>
      <w:r w:rsidRPr="008441D3">
        <w:rPr>
          <w:rFonts w:ascii="Arial" w:hAnsi="Arial" w:cs="Arial"/>
          <w:color w:val="000000"/>
          <w:sz w:val="22"/>
          <w:szCs w:val="22"/>
        </w:rPr>
        <w:br/>
        <w:t>Adaosul comercial = K x Rulajul lunar al contului 707</w:t>
      </w:r>
      <w:r w:rsidRPr="008441D3">
        <w:rPr>
          <w:rFonts w:ascii="Arial" w:hAnsi="Arial" w:cs="Arial"/>
          <w:color w:val="000000"/>
          <w:sz w:val="22"/>
          <w:szCs w:val="22"/>
        </w:rPr>
        <w:br/>
        <w:t>Astfel costul mărfurilor vândute va fi:</w:t>
      </w:r>
      <w:r w:rsidRPr="008441D3">
        <w:rPr>
          <w:rFonts w:ascii="Arial" w:hAnsi="Arial" w:cs="Arial"/>
          <w:color w:val="000000"/>
          <w:sz w:val="22"/>
          <w:szCs w:val="22"/>
        </w:rPr>
        <w:br/>
        <w:t>Cost = Rulaj lunar al contului 707 – Adaos comercial</w:t>
      </w:r>
      <w:r w:rsidRPr="008441D3">
        <w:rPr>
          <w:rFonts w:ascii="Arial" w:hAnsi="Arial" w:cs="Arial"/>
          <w:color w:val="000000"/>
          <w:sz w:val="22"/>
          <w:szCs w:val="22"/>
        </w:rPr>
        <w:br/>
        <w:t xml:space="preserve"> Rulajul lunar al contului 707 se referă doar la veniturile din vânzarea mărfurilor cu amănuntul.</w:t>
      </w:r>
    </w:p>
    <w:p w:rsidR="008441D3" w:rsidRPr="008441D3" w:rsidRDefault="008441D3" w:rsidP="008441D3">
      <w:pPr>
        <w:pStyle w:val="NormalWeb"/>
        <w:numPr>
          <w:ilvl w:val="0"/>
          <w:numId w:val="5"/>
        </w:numPr>
        <w:shd w:val="clear" w:color="auto" w:fill="FFFFFF"/>
        <w:spacing w:before="0" w:after="0" w:line="270" w:lineRule="atLeast"/>
        <w:rPr>
          <w:rFonts w:ascii="Arial" w:hAnsi="Arial" w:cs="Arial"/>
          <w:sz w:val="22"/>
          <w:szCs w:val="22"/>
        </w:rPr>
      </w:pPr>
      <w:r w:rsidRPr="008441D3">
        <w:rPr>
          <w:rFonts w:ascii="Arial" w:hAnsi="Arial" w:cs="Arial"/>
          <w:sz w:val="22"/>
          <w:szCs w:val="22"/>
        </w:rPr>
        <w:t xml:space="preserve">Prezentarea principalelor înregistrări contabile </w:t>
      </w:r>
    </w:p>
    <w:p w:rsidR="008441D3" w:rsidRPr="008441D3" w:rsidRDefault="008441D3" w:rsidP="008441D3">
      <w:pPr>
        <w:pStyle w:val="NormalWeb"/>
        <w:shd w:val="clear" w:color="auto" w:fill="FFFFFF"/>
        <w:spacing w:before="0" w:after="0" w:line="270" w:lineRule="atLeast"/>
        <w:ind w:left="1440"/>
        <w:jc w:val="center"/>
        <w:rPr>
          <w:rFonts w:ascii="Arial" w:hAnsi="Arial" w:cs="Arial"/>
          <w:sz w:val="22"/>
          <w:szCs w:val="22"/>
        </w:rPr>
      </w:pPr>
      <w:r w:rsidRPr="008441D3">
        <w:rPr>
          <w:rStyle w:val="Strong"/>
          <w:rFonts w:ascii="Arial" w:hAnsi="Arial" w:cs="Arial"/>
          <w:color w:val="000000"/>
          <w:sz w:val="22"/>
          <w:szCs w:val="22"/>
        </w:rPr>
        <w:t xml:space="preserve">                                                                             </w:t>
      </w:r>
    </w:p>
    <w:p w:rsidR="008441D3" w:rsidRPr="008441D3" w:rsidRDefault="008441D3" w:rsidP="008441D3">
      <w:pPr>
        <w:pStyle w:val="NormalWeb"/>
        <w:shd w:val="clear" w:color="auto" w:fill="FFFFFF"/>
        <w:spacing w:before="0" w:after="0" w:line="270" w:lineRule="atLeast"/>
        <w:ind w:left="1440"/>
        <w:rPr>
          <w:rFonts w:ascii="Arial" w:hAnsi="Arial" w:cs="Arial"/>
          <w:sz w:val="22"/>
          <w:szCs w:val="22"/>
        </w:rPr>
      </w:pPr>
    </w:p>
    <w:p w:rsidR="008441D3" w:rsidRPr="008441D3" w:rsidRDefault="008441D3" w:rsidP="008441D3">
      <w:pPr>
        <w:pStyle w:val="NormalWeb"/>
        <w:shd w:val="clear" w:color="auto" w:fill="FFFFFF"/>
        <w:spacing w:before="0" w:after="0" w:line="270" w:lineRule="atLeast"/>
        <w:rPr>
          <w:rFonts w:ascii="Arial" w:hAnsi="Arial" w:cs="Arial"/>
          <w:sz w:val="22"/>
          <w:szCs w:val="22"/>
        </w:rPr>
      </w:pPr>
      <w:r w:rsidRPr="008441D3">
        <w:rPr>
          <w:rStyle w:val="Strong"/>
          <w:rFonts w:ascii="Arial" w:hAnsi="Arial" w:cs="Arial"/>
          <w:b w:val="0"/>
          <w:color w:val="000000"/>
          <w:sz w:val="22"/>
          <w:szCs w:val="22"/>
        </w:rPr>
        <w:t>1.Achizitionarea mărfurilor de la furnizori. Mărfurile ajung cu factură:</w:t>
      </w:r>
    </w:p>
    <w:p w:rsidR="008441D3" w:rsidRPr="008441D3" w:rsidRDefault="008441D3" w:rsidP="008441D3">
      <w:pPr>
        <w:pStyle w:val="NormalWeb"/>
        <w:shd w:val="clear" w:color="auto" w:fill="FFFFFF"/>
        <w:spacing w:before="0" w:after="0" w:line="270" w:lineRule="atLeast"/>
        <w:rPr>
          <w:rFonts w:ascii="Arial" w:hAnsi="Arial" w:cs="Arial"/>
          <w:sz w:val="22"/>
          <w:szCs w:val="22"/>
        </w:rPr>
      </w:pPr>
      <w:r w:rsidRPr="008441D3">
        <w:rPr>
          <w:rFonts w:ascii="Arial" w:hAnsi="Arial" w:cs="Arial"/>
          <w:color w:val="000000"/>
          <w:sz w:val="22"/>
          <w:szCs w:val="22"/>
        </w:rPr>
        <w:t>% = 401</w:t>
      </w:r>
      <w:r w:rsidRPr="008441D3">
        <w:rPr>
          <w:rFonts w:ascii="Arial" w:hAnsi="Arial" w:cs="Arial"/>
          <w:color w:val="000000"/>
          <w:sz w:val="22"/>
          <w:szCs w:val="22"/>
        </w:rPr>
        <w:br/>
        <w:t>371</w:t>
      </w:r>
      <w:r w:rsidRPr="008441D3">
        <w:rPr>
          <w:rFonts w:ascii="Arial" w:hAnsi="Arial" w:cs="Arial"/>
          <w:color w:val="000000"/>
          <w:sz w:val="22"/>
          <w:szCs w:val="22"/>
        </w:rPr>
        <w:br/>
        <w:t>4426</w:t>
      </w:r>
      <w:r w:rsidRPr="008441D3">
        <w:rPr>
          <w:rFonts w:ascii="Arial" w:hAnsi="Arial" w:cs="Arial"/>
          <w:color w:val="000000"/>
          <w:sz w:val="22"/>
          <w:szCs w:val="22"/>
        </w:rPr>
        <w:br/>
        <w:t>- înregistrarea adaosului comecial :</w:t>
      </w:r>
    </w:p>
    <w:p w:rsidR="008441D3" w:rsidRPr="008441D3" w:rsidRDefault="008441D3" w:rsidP="008441D3">
      <w:pPr>
        <w:pStyle w:val="NormalWeb"/>
        <w:shd w:val="clear" w:color="auto" w:fill="FFFFFF"/>
        <w:spacing w:before="0" w:after="0" w:line="270" w:lineRule="atLeast"/>
        <w:rPr>
          <w:rFonts w:ascii="Arial" w:hAnsi="Arial" w:cs="Arial"/>
          <w:color w:val="000000"/>
          <w:sz w:val="22"/>
          <w:szCs w:val="22"/>
        </w:rPr>
      </w:pPr>
      <w:r w:rsidRPr="008441D3">
        <w:rPr>
          <w:rFonts w:ascii="Arial" w:hAnsi="Arial" w:cs="Arial"/>
          <w:color w:val="000000"/>
          <w:sz w:val="22"/>
          <w:szCs w:val="22"/>
        </w:rPr>
        <w:t>371 =     %</w:t>
      </w:r>
      <w:r w:rsidRPr="008441D3">
        <w:rPr>
          <w:rFonts w:ascii="Arial" w:hAnsi="Arial" w:cs="Arial"/>
          <w:color w:val="000000"/>
          <w:sz w:val="22"/>
          <w:szCs w:val="22"/>
        </w:rPr>
        <w:br/>
        <w:t xml:space="preserve">             378</w:t>
      </w:r>
      <w:r w:rsidRPr="008441D3">
        <w:rPr>
          <w:rFonts w:ascii="Arial" w:hAnsi="Arial" w:cs="Arial"/>
          <w:color w:val="000000"/>
          <w:sz w:val="22"/>
          <w:szCs w:val="22"/>
        </w:rPr>
        <w:br/>
        <w:t xml:space="preserve">            4428</w:t>
      </w:r>
    </w:p>
    <w:p w:rsidR="008441D3" w:rsidRPr="008441D3" w:rsidRDefault="008441D3" w:rsidP="008441D3">
      <w:pPr>
        <w:pStyle w:val="NormalWeb"/>
        <w:shd w:val="clear" w:color="auto" w:fill="FFFFFF"/>
        <w:spacing w:before="0" w:after="0" w:line="270" w:lineRule="atLeast"/>
        <w:rPr>
          <w:rFonts w:ascii="Arial" w:hAnsi="Arial" w:cs="Arial"/>
          <w:sz w:val="22"/>
          <w:szCs w:val="22"/>
        </w:rPr>
      </w:pPr>
      <w:r w:rsidRPr="008441D3">
        <w:rPr>
          <w:rStyle w:val="Strong"/>
          <w:rFonts w:ascii="Arial" w:eastAsia="Batang" w:hAnsi="Arial" w:cs="Arial"/>
          <w:b w:val="0"/>
          <w:color w:val="000000"/>
          <w:sz w:val="22"/>
          <w:szCs w:val="22"/>
        </w:rPr>
        <w:t>2. Vânzarea mărfurilor cu amănuntul, în baza raportul Z de la casa de marcat:</w:t>
      </w:r>
    </w:p>
    <w:p w:rsidR="008441D3" w:rsidRPr="008441D3" w:rsidRDefault="008441D3" w:rsidP="008441D3">
      <w:pPr>
        <w:pStyle w:val="NormalWeb"/>
        <w:shd w:val="clear" w:color="auto" w:fill="FFFFFF"/>
        <w:spacing w:before="0" w:after="0" w:line="270" w:lineRule="atLeast"/>
        <w:rPr>
          <w:rFonts w:ascii="Arial" w:hAnsi="Arial" w:cs="Arial"/>
          <w:color w:val="000000"/>
          <w:sz w:val="22"/>
          <w:szCs w:val="22"/>
        </w:rPr>
      </w:pPr>
      <w:r w:rsidRPr="008441D3">
        <w:rPr>
          <w:rFonts w:ascii="Arial" w:hAnsi="Arial" w:cs="Arial"/>
          <w:color w:val="000000"/>
          <w:sz w:val="22"/>
          <w:szCs w:val="22"/>
        </w:rPr>
        <w:t>A. Prin casa (numerar):</w:t>
      </w:r>
      <w:r w:rsidRPr="008441D3">
        <w:rPr>
          <w:rFonts w:ascii="Arial" w:hAnsi="Arial" w:cs="Arial"/>
          <w:color w:val="000000"/>
          <w:sz w:val="22"/>
          <w:szCs w:val="22"/>
        </w:rPr>
        <w:br/>
        <w:t>5311  = %</w:t>
      </w:r>
      <w:r w:rsidRPr="008441D3">
        <w:rPr>
          <w:rFonts w:ascii="Arial" w:hAnsi="Arial" w:cs="Arial"/>
          <w:color w:val="000000"/>
          <w:sz w:val="22"/>
          <w:szCs w:val="22"/>
        </w:rPr>
        <w:br/>
        <w:t xml:space="preserve">            707</w:t>
      </w:r>
      <w:r w:rsidRPr="008441D3">
        <w:rPr>
          <w:rFonts w:ascii="Arial" w:hAnsi="Arial" w:cs="Arial"/>
          <w:color w:val="000000"/>
          <w:sz w:val="22"/>
          <w:szCs w:val="22"/>
        </w:rPr>
        <w:br/>
        <w:t xml:space="preserve">           4427</w:t>
      </w:r>
    </w:p>
    <w:p w:rsidR="008441D3" w:rsidRPr="008441D3" w:rsidRDefault="008441D3" w:rsidP="008441D3">
      <w:pPr>
        <w:pStyle w:val="NormalWeb"/>
        <w:shd w:val="clear" w:color="auto" w:fill="FFFFFF"/>
        <w:spacing w:before="0" w:after="0" w:line="270" w:lineRule="atLeast"/>
        <w:rPr>
          <w:rFonts w:ascii="Arial" w:hAnsi="Arial" w:cs="Arial"/>
          <w:sz w:val="22"/>
          <w:szCs w:val="22"/>
        </w:rPr>
      </w:pPr>
      <w:r w:rsidRPr="008441D3">
        <w:rPr>
          <w:rFonts w:ascii="Arial" w:hAnsi="Arial" w:cs="Arial"/>
          <w:color w:val="000000"/>
          <w:sz w:val="22"/>
          <w:szCs w:val="22"/>
        </w:rPr>
        <w:br/>
        <w:t>B. Prin banca (card):</w:t>
      </w:r>
      <w:r w:rsidRPr="008441D3">
        <w:rPr>
          <w:rFonts w:ascii="Arial" w:hAnsi="Arial" w:cs="Arial"/>
          <w:color w:val="000000"/>
          <w:sz w:val="22"/>
          <w:szCs w:val="22"/>
        </w:rPr>
        <w:br/>
        <w:t>5121 = %</w:t>
      </w:r>
      <w:r w:rsidRPr="008441D3">
        <w:rPr>
          <w:rFonts w:ascii="Arial" w:hAnsi="Arial" w:cs="Arial"/>
          <w:color w:val="000000"/>
          <w:sz w:val="22"/>
          <w:szCs w:val="22"/>
        </w:rPr>
        <w:br/>
        <w:t xml:space="preserve">             707</w:t>
      </w:r>
      <w:r w:rsidRPr="008441D3">
        <w:rPr>
          <w:rFonts w:ascii="Arial" w:hAnsi="Arial" w:cs="Arial"/>
          <w:color w:val="000000"/>
          <w:sz w:val="22"/>
          <w:szCs w:val="22"/>
        </w:rPr>
        <w:br/>
        <w:t xml:space="preserve">            4427</w:t>
      </w:r>
    </w:p>
    <w:p w:rsidR="008441D3" w:rsidRPr="008441D3" w:rsidRDefault="008441D3" w:rsidP="008441D3">
      <w:pPr>
        <w:pStyle w:val="NormalWeb"/>
        <w:shd w:val="clear" w:color="auto" w:fill="FFFFFF"/>
        <w:spacing w:before="0" w:after="0" w:line="270" w:lineRule="atLeast"/>
        <w:rPr>
          <w:rFonts w:ascii="Arial" w:hAnsi="Arial" w:cs="Arial"/>
          <w:sz w:val="22"/>
          <w:szCs w:val="22"/>
        </w:rPr>
      </w:pPr>
      <w:r w:rsidRPr="008441D3">
        <w:rPr>
          <w:rStyle w:val="Strong"/>
          <w:rFonts w:ascii="Arial" w:eastAsia="Batang" w:hAnsi="Arial" w:cs="Arial"/>
          <w:b w:val="0"/>
          <w:color w:val="000000"/>
          <w:sz w:val="22"/>
          <w:szCs w:val="22"/>
        </w:rPr>
        <w:t>3. Descarcarea de gestiune a mărfurilor vândute, tinând cont de coeficientul “K” de repartizare a adaosului calculat pentru fiecare luna:</w:t>
      </w:r>
      <w:r w:rsidRPr="008441D3">
        <w:rPr>
          <w:rFonts w:ascii="Arial" w:hAnsi="Arial" w:cs="Arial"/>
          <w:bCs/>
          <w:color w:val="000000"/>
          <w:sz w:val="22"/>
          <w:szCs w:val="22"/>
        </w:rPr>
        <w:br/>
      </w:r>
      <w:r w:rsidRPr="008441D3">
        <w:rPr>
          <w:rFonts w:ascii="Arial" w:hAnsi="Arial" w:cs="Arial"/>
          <w:color w:val="000000"/>
          <w:sz w:val="22"/>
          <w:szCs w:val="22"/>
        </w:rPr>
        <w:t>%  = 371</w:t>
      </w:r>
      <w:r w:rsidRPr="008441D3">
        <w:rPr>
          <w:rFonts w:ascii="Arial" w:hAnsi="Arial" w:cs="Arial"/>
          <w:color w:val="000000"/>
          <w:sz w:val="22"/>
          <w:szCs w:val="22"/>
        </w:rPr>
        <w:br/>
        <w:t>607</w:t>
      </w:r>
      <w:r w:rsidRPr="008441D3">
        <w:rPr>
          <w:rFonts w:ascii="Arial" w:hAnsi="Arial" w:cs="Arial"/>
          <w:color w:val="000000"/>
          <w:sz w:val="22"/>
          <w:szCs w:val="22"/>
        </w:rPr>
        <w:br/>
        <w:t>378</w:t>
      </w:r>
      <w:r w:rsidRPr="008441D3">
        <w:rPr>
          <w:rFonts w:ascii="Arial" w:hAnsi="Arial" w:cs="Arial"/>
          <w:color w:val="000000"/>
          <w:sz w:val="22"/>
          <w:szCs w:val="22"/>
        </w:rPr>
        <w:br/>
        <w:t>4428</w:t>
      </w:r>
    </w:p>
    <w:p w:rsidR="008441D3" w:rsidRPr="008441D3" w:rsidRDefault="008441D3" w:rsidP="008441D3">
      <w:pPr>
        <w:pStyle w:val="NormalWeb"/>
        <w:shd w:val="clear" w:color="auto" w:fill="FFFFFF"/>
        <w:spacing w:before="0" w:after="0" w:line="270" w:lineRule="atLeast"/>
        <w:rPr>
          <w:rFonts w:ascii="Arial" w:hAnsi="Arial" w:cs="Arial"/>
          <w:sz w:val="22"/>
          <w:szCs w:val="22"/>
        </w:rPr>
      </w:pPr>
      <w:r w:rsidRPr="008441D3">
        <w:rPr>
          <w:rFonts w:ascii="Arial" w:eastAsia="MS Mincho" w:hAnsi="Arial" w:cs="Arial"/>
          <w:i/>
          <w:iCs/>
          <w:color w:val="000000"/>
          <w:sz w:val="22"/>
          <w:szCs w:val="22"/>
        </w:rPr>
        <w:t xml:space="preserve"> </w:t>
      </w:r>
    </w:p>
    <w:p w:rsidR="008441D3" w:rsidRPr="008441D3" w:rsidRDefault="008441D3" w:rsidP="008441D3">
      <w:pPr>
        <w:ind w:firstLine="567"/>
        <w:jc w:val="both"/>
        <w:rPr>
          <w:rFonts w:ascii="Arial" w:hAnsi="Arial" w:cs="Arial"/>
          <w:sz w:val="22"/>
          <w:szCs w:val="22"/>
          <w:lang w:val="it-IT"/>
        </w:rPr>
      </w:pPr>
    </w:p>
    <w:p w:rsidR="008441D3" w:rsidRPr="008441D3" w:rsidRDefault="008441D3" w:rsidP="008441D3">
      <w:pPr>
        <w:ind w:firstLine="567"/>
        <w:jc w:val="both"/>
        <w:rPr>
          <w:rFonts w:ascii="Arial" w:hAnsi="Arial" w:cs="Arial"/>
          <w:sz w:val="22"/>
          <w:szCs w:val="22"/>
          <w:lang w:val="it-IT"/>
        </w:rPr>
      </w:pPr>
    </w:p>
    <w:p w:rsidR="008441D3" w:rsidRPr="00865823" w:rsidRDefault="008441D3" w:rsidP="008441D3">
      <w:pPr>
        <w:ind w:firstLine="567"/>
        <w:jc w:val="both"/>
        <w:rPr>
          <w:rFonts w:ascii="Arial" w:hAnsi="Arial" w:cs="Arial"/>
          <w:lang w:val="it-IT"/>
        </w:rPr>
      </w:pPr>
    </w:p>
    <w:p w:rsidR="008441D3" w:rsidRPr="008441D3" w:rsidRDefault="008441D3">
      <w:pPr>
        <w:rPr>
          <w:lang w:val="ro-RO"/>
        </w:rPr>
      </w:pPr>
    </w:p>
    <w:sectPr w:rsidR="008441D3" w:rsidRPr="008441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37F9"/>
    <w:multiLevelType w:val="multilevel"/>
    <w:tmpl w:val="E918E830"/>
    <w:lvl w:ilvl="0">
      <w:start w:val="1"/>
      <w:numFmt w:val="lowerLetter"/>
      <w:lvlText w:val="%1."/>
      <w:lvlJc w:val="left"/>
      <w:pPr>
        <w:ind w:left="1440" w:hanging="360"/>
      </w:pPr>
      <w:rPr>
        <w:b/>
      </w:rPr>
    </w:lvl>
    <w:lvl w:ilvl="1">
      <w:start w:val="1"/>
      <w:numFmt w:val="lowerLetter"/>
      <w:lvlText w:val="%2."/>
      <w:lvlJc w:val="left"/>
      <w:pPr>
        <w:ind w:left="2061"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38C408B3"/>
    <w:multiLevelType w:val="hybridMultilevel"/>
    <w:tmpl w:val="F05A4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492EC9"/>
    <w:multiLevelType w:val="hybridMultilevel"/>
    <w:tmpl w:val="0F6278FA"/>
    <w:lvl w:ilvl="0" w:tplc="EF8EC67E">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8ED50F2"/>
    <w:multiLevelType w:val="hybridMultilevel"/>
    <w:tmpl w:val="F89298E0"/>
    <w:lvl w:ilvl="0" w:tplc="41384BAA">
      <w:start w:val="1"/>
      <w:numFmt w:val="lowerLetter"/>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CD569E"/>
    <w:multiLevelType w:val="hybridMultilevel"/>
    <w:tmpl w:val="041268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1E2DCA"/>
    <w:multiLevelType w:val="multilevel"/>
    <w:tmpl w:val="C5248A9C"/>
    <w:lvl w:ilvl="0">
      <w:start w:val="1"/>
      <w:numFmt w:val="lowerLetter"/>
      <w:lvlText w:val="%1."/>
      <w:lvlJc w:val="left"/>
      <w:pPr>
        <w:ind w:left="1545" w:hanging="360"/>
      </w:pPr>
    </w:lvl>
    <w:lvl w:ilvl="1">
      <w:start w:val="1"/>
      <w:numFmt w:val="lowerLetter"/>
      <w:lvlText w:val="%2."/>
      <w:lvlJc w:val="left"/>
      <w:pPr>
        <w:ind w:left="2265" w:hanging="360"/>
      </w:pPr>
    </w:lvl>
    <w:lvl w:ilvl="2">
      <w:start w:val="1"/>
      <w:numFmt w:val="lowerRoman"/>
      <w:lvlText w:val="%3."/>
      <w:lvlJc w:val="right"/>
      <w:pPr>
        <w:ind w:left="2985" w:hanging="180"/>
      </w:pPr>
    </w:lvl>
    <w:lvl w:ilvl="3">
      <w:start w:val="1"/>
      <w:numFmt w:val="decimal"/>
      <w:lvlText w:val="%4."/>
      <w:lvlJc w:val="left"/>
      <w:pPr>
        <w:ind w:left="3705" w:hanging="360"/>
      </w:pPr>
    </w:lvl>
    <w:lvl w:ilvl="4">
      <w:start w:val="1"/>
      <w:numFmt w:val="lowerLetter"/>
      <w:lvlText w:val="%5."/>
      <w:lvlJc w:val="left"/>
      <w:pPr>
        <w:ind w:left="4425" w:hanging="360"/>
      </w:pPr>
    </w:lvl>
    <w:lvl w:ilvl="5">
      <w:start w:val="1"/>
      <w:numFmt w:val="lowerRoman"/>
      <w:lvlText w:val="%6."/>
      <w:lvlJc w:val="right"/>
      <w:pPr>
        <w:ind w:left="5145" w:hanging="180"/>
      </w:pPr>
    </w:lvl>
    <w:lvl w:ilvl="6">
      <w:start w:val="1"/>
      <w:numFmt w:val="decimal"/>
      <w:lvlText w:val="%7."/>
      <w:lvlJc w:val="left"/>
      <w:pPr>
        <w:ind w:left="5865" w:hanging="360"/>
      </w:pPr>
    </w:lvl>
    <w:lvl w:ilvl="7">
      <w:start w:val="1"/>
      <w:numFmt w:val="lowerLetter"/>
      <w:lvlText w:val="%8."/>
      <w:lvlJc w:val="left"/>
      <w:pPr>
        <w:ind w:left="6585" w:hanging="360"/>
      </w:pPr>
    </w:lvl>
    <w:lvl w:ilvl="8">
      <w:start w:val="1"/>
      <w:numFmt w:val="lowerRoman"/>
      <w:lvlText w:val="%9."/>
      <w:lvlJc w:val="right"/>
      <w:pPr>
        <w:ind w:left="7305" w:hanging="180"/>
      </w:pPr>
    </w:lvl>
  </w:abstractNum>
  <w:abstractNum w:abstractNumId="6">
    <w:nsid w:val="73997F2C"/>
    <w:multiLevelType w:val="hybridMultilevel"/>
    <w:tmpl w:val="30325F0C"/>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AE963710">
      <w:start w:val="7"/>
      <w:numFmt w:val="decimal"/>
      <w:lvlText w:val="%3."/>
      <w:lvlJc w:val="left"/>
      <w:pPr>
        <w:ind w:left="36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
  </w:num>
  <w:num w:numId="3">
    <w:abstractNumId w:val="3"/>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193"/>
    <w:rsid w:val="003A477B"/>
    <w:rsid w:val="00701604"/>
    <w:rsid w:val="007D14BC"/>
    <w:rsid w:val="008441D3"/>
    <w:rsid w:val="00BE3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1D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41D3"/>
    <w:pPr>
      <w:keepNext/>
      <w:outlineLvl w:val="0"/>
    </w:pPr>
    <w:rPr>
      <w:rFonts w:ascii="Arial" w:hAnsi="Arial"/>
      <w:b/>
      <w:sz w:val="22"/>
      <w:szCs w:val="20"/>
      <w:lang w:val="ro-RO"/>
    </w:rPr>
  </w:style>
  <w:style w:type="paragraph" w:styleId="Heading2">
    <w:name w:val="heading 2"/>
    <w:basedOn w:val="Normal"/>
    <w:next w:val="Normal"/>
    <w:link w:val="Heading2Char"/>
    <w:unhideWhenUsed/>
    <w:qFormat/>
    <w:rsid w:val="008441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41D3"/>
    <w:rPr>
      <w:rFonts w:ascii="Arial" w:eastAsia="Times New Roman" w:hAnsi="Arial" w:cs="Times New Roman"/>
      <w:b/>
      <w:szCs w:val="20"/>
      <w:lang w:val="ro-RO"/>
    </w:rPr>
  </w:style>
  <w:style w:type="character" w:customStyle="1" w:styleId="Heading2Char">
    <w:name w:val="Heading 2 Char"/>
    <w:basedOn w:val="DefaultParagraphFont"/>
    <w:link w:val="Heading2"/>
    <w:rsid w:val="008441D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441D3"/>
    <w:pPr>
      <w:ind w:left="708"/>
    </w:pPr>
    <w:rPr>
      <w:rFonts w:eastAsia="MS Mincho"/>
      <w:lang w:val="ro-RO"/>
    </w:rPr>
  </w:style>
  <w:style w:type="paragraph" w:customStyle="1" w:styleId="NoSpacing1">
    <w:name w:val="No Spacing1"/>
    <w:qFormat/>
    <w:rsid w:val="008441D3"/>
    <w:pPr>
      <w:spacing w:after="0" w:line="240" w:lineRule="auto"/>
      <w:jc w:val="both"/>
    </w:pPr>
    <w:rPr>
      <w:rFonts w:ascii="Bookman Old Style" w:eastAsia="Batang" w:hAnsi="Bookman Old Style" w:cs="Times New Roman"/>
      <w:sz w:val="20"/>
      <w:szCs w:val="20"/>
      <w:lang w:val="ro-RO" w:eastAsia="ko-KR"/>
    </w:rPr>
  </w:style>
  <w:style w:type="paragraph" w:customStyle="1" w:styleId="Default">
    <w:name w:val="Default"/>
    <w:rsid w:val="008441D3"/>
    <w:pPr>
      <w:autoSpaceDE w:val="0"/>
      <w:autoSpaceDN w:val="0"/>
      <w:adjustRightInd w:val="0"/>
      <w:spacing w:after="0" w:line="240" w:lineRule="auto"/>
    </w:pPr>
    <w:rPr>
      <w:rFonts w:ascii="Arial" w:eastAsia="Calibri" w:hAnsi="Arial" w:cs="Arial"/>
      <w:color w:val="000000"/>
      <w:sz w:val="24"/>
      <w:szCs w:val="24"/>
      <w:lang w:val="ro-RO"/>
    </w:rPr>
  </w:style>
  <w:style w:type="paragraph" w:styleId="NormalWeb">
    <w:name w:val="Normal (Web)"/>
    <w:basedOn w:val="Normal"/>
    <w:uiPriority w:val="99"/>
    <w:rsid w:val="008441D3"/>
    <w:pPr>
      <w:suppressAutoHyphens/>
      <w:autoSpaceDN w:val="0"/>
      <w:spacing w:before="100" w:after="100"/>
      <w:textAlignment w:val="baseline"/>
    </w:pPr>
    <w:rPr>
      <w:lang w:val="ro-RO" w:eastAsia="ro-RO"/>
    </w:rPr>
  </w:style>
  <w:style w:type="character" w:styleId="Strong">
    <w:name w:val="Strong"/>
    <w:rsid w:val="008441D3"/>
    <w:rPr>
      <w:b/>
      <w:bCs/>
    </w:rPr>
  </w:style>
  <w:style w:type="table" w:styleId="TableGrid">
    <w:name w:val="Table Grid"/>
    <w:basedOn w:val="TableNormal"/>
    <w:uiPriority w:val="59"/>
    <w:rsid w:val="008441D3"/>
    <w:pPr>
      <w:spacing w:after="0" w:line="240" w:lineRule="auto"/>
    </w:pPr>
    <w:rPr>
      <w:rFonts w:ascii="Arial" w:eastAsiaTheme="minorEastAsia"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1D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41D3"/>
    <w:pPr>
      <w:keepNext/>
      <w:outlineLvl w:val="0"/>
    </w:pPr>
    <w:rPr>
      <w:rFonts w:ascii="Arial" w:hAnsi="Arial"/>
      <w:b/>
      <w:sz w:val="22"/>
      <w:szCs w:val="20"/>
      <w:lang w:val="ro-RO"/>
    </w:rPr>
  </w:style>
  <w:style w:type="paragraph" w:styleId="Heading2">
    <w:name w:val="heading 2"/>
    <w:basedOn w:val="Normal"/>
    <w:next w:val="Normal"/>
    <w:link w:val="Heading2Char"/>
    <w:unhideWhenUsed/>
    <w:qFormat/>
    <w:rsid w:val="008441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41D3"/>
    <w:rPr>
      <w:rFonts w:ascii="Arial" w:eastAsia="Times New Roman" w:hAnsi="Arial" w:cs="Times New Roman"/>
      <w:b/>
      <w:szCs w:val="20"/>
      <w:lang w:val="ro-RO"/>
    </w:rPr>
  </w:style>
  <w:style w:type="character" w:customStyle="1" w:styleId="Heading2Char">
    <w:name w:val="Heading 2 Char"/>
    <w:basedOn w:val="DefaultParagraphFont"/>
    <w:link w:val="Heading2"/>
    <w:rsid w:val="008441D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441D3"/>
    <w:pPr>
      <w:ind w:left="708"/>
    </w:pPr>
    <w:rPr>
      <w:rFonts w:eastAsia="MS Mincho"/>
      <w:lang w:val="ro-RO"/>
    </w:rPr>
  </w:style>
  <w:style w:type="paragraph" w:customStyle="1" w:styleId="NoSpacing1">
    <w:name w:val="No Spacing1"/>
    <w:qFormat/>
    <w:rsid w:val="008441D3"/>
    <w:pPr>
      <w:spacing w:after="0" w:line="240" w:lineRule="auto"/>
      <w:jc w:val="both"/>
    </w:pPr>
    <w:rPr>
      <w:rFonts w:ascii="Bookman Old Style" w:eastAsia="Batang" w:hAnsi="Bookman Old Style" w:cs="Times New Roman"/>
      <w:sz w:val="20"/>
      <w:szCs w:val="20"/>
      <w:lang w:val="ro-RO" w:eastAsia="ko-KR"/>
    </w:rPr>
  </w:style>
  <w:style w:type="paragraph" w:customStyle="1" w:styleId="Default">
    <w:name w:val="Default"/>
    <w:rsid w:val="008441D3"/>
    <w:pPr>
      <w:autoSpaceDE w:val="0"/>
      <w:autoSpaceDN w:val="0"/>
      <w:adjustRightInd w:val="0"/>
      <w:spacing w:after="0" w:line="240" w:lineRule="auto"/>
    </w:pPr>
    <w:rPr>
      <w:rFonts w:ascii="Arial" w:eastAsia="Calibri" w:hAnsi="Arial" w:cs="Arial"/>
      <w:color w:val="000000"/>
      <w:sz w:val="24"/>
      <w:szCs w:val="24"/>
      <w:lang w:val="ro-RO"/>
    </w:rPr>
  </w:style>
  <w:style w:type="paragraph" w:styleId="NormalWeb">
    <w:name w:val="Normal (Web)"/>
    <w:basedOn w:val="Normal"/>
    <w:uiPriority w:val="99"/>
    <w:rsid w:val="008441D3"/>
    <w:pPr>
      <w:suppressAutoHyphens/>
      <w:autoSpaceDN w:val="0"/>
      <w:spacing w:before="100" w:after="100"/>
      <w:textAlignment w:val="baseline"/>
    </w:pPr>
    <w:rPr>
      <w:lang w:val="ro-RO" w:eastAsia="ro-RO"/>
    </w:rPr>
  </w:style>
  <w:style w:type="character" w:styleId="Strong">
    <w:name w:val="Strong"/>
    <w:rsid w:val="008441D3"/>
    <w:rPr>
      <w:b/>
      <w:bCs/>
    </w:rPr>
  </w:style>
  <w:style w:type="table" w:styleId="TableGrid">
    <w:name w:val="Table Grid"/>
    <w:basedOn w:val="TableNormal"/>
    <w:uiPriority w:val="59"/>
    <w:rsid w:val="008441D3"/>
    <w:pPr>
      <w:spacing w:after="0" w:line="240" w:lineRule="auto"/>
    </w:pPr>
    <w:rPr>
      <w:rFonts w:ascii="Arial" w:eastAsiaTheme="minorEastAsia"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925</Words>
  <Characters>5274</Characters>
  <Application>Microsoft Office Word</Application>
  <DocSecurity>0</DocSecurity>
  <Lines>43</Lines>
  <Paragraphs>12</Paragraphs>
  <ScaleCrop>false</ScaleCrop>
  <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Geografie-PC7</dc:creator>
  <cp:keywords/>
  <dc:description/>
  <cp:lastModifiedBy>Geografie-PC7</cp:lastModifiedBy>
  <cp:revision>5</cp:revision>
  <dcterms:created xsi:type="dcterms:W3CDTF">2021-10-20T07:01:00Z</dcterms:created>
  <dcterms:modified xsi:type="dcterms:W3CDTF">2022-05-14T13:04:00Z</dcterms:modified>
</cp:coreProperties>
</file>