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59"/>
        <w:gridCol w:w="6483"/>
      </w:tblGrid>
      <w:tr w:rsidR="00FA0FDF" w:rsidRPr="00A01081" w:rsidTr="004316B4">
        <w:trPr>
          <w:trHeight w:val="798"/>
        </w:trPr>
        <w:tc>
          <w:tcPr>
            <w:tcW w:w="2943" w:type="dxa"/>
          </w:tcPr>
          <w:p w:rsidR="00FA0FDF" w:rsidRPr="00392A4A" w:rsidRDefault="00FA0FDF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FA0FDF" w:rsidRPr="00A01081" w:rsidRDefault="00FA0FDF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FA0FDF" w:rsidRPr="00A01081" w:rsidTr="004316B4">
        <w:tc>
          <w:tcPr>
            <w:tcW w:w="2943" w:type="dxa"/>
          </w:tcPr>
          <w:p w:rsidR="00FA0FDF" w:rsidRPr="00392A4A" w:rsidRDefault="00FA0FDF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FA0FDF" w:rsidRPr="00A01081" w:rsidRDefault="00FA0FDF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color w:val="000000"/>
                <w:sz w:val="24"/>
                <w:szCs w:val="24"/>
              </w:rPr>
              <w:t>Tehnician designer vestimentar</w:t>
            </w:r>
          </w:p>
        </w:tc>
      </w:tr>
      <w:tr w:rsidR="00FA0FDF" w:rsidRPr="00A01081" w:rsidTr="004316B4">
        <w:tc>
          <w:tcPr>
            <w:tcW w:w="2943" w:type="dxa"/>
          </w:tcPr>
          <w:p w:rsidR="00FA0FDF" w:rsidRPr="00392A4A" w:rsidRDefault="00FA0FDF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FA0FDF" w:rsidRPr="00A01081" w:rsidRDefault="00FA0FDF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DOCUMENTAȚIA TEHNICĂ</w:t>
            </w:r>
          </w:p>
        </w:tc>
      </w:tr>
      <w:tr w:rsidR="00FA0FDF" w:rsidRPr="00A01081" w:rsidTr="004316B4">
        <w:tc>
          <w:tcPr>
            <w:tcW w:w="2943" w:type="dxa"/>
          </w:tcPr>
          <w:p w:rsidR="00FA0FDF" w:rsidRPr="00392A4A" w:rsidRDefault="00FA0FDF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FA0FDF" w:rsidRPr="00A01081" w:rsidRDefault="00FA0FDF" w:rsidP="004316B4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a-XI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FA0FDF" w:rsidRPr="00893A24" w:rsidRDefault="00FA0FDF" w:rsidP="00FA0FDF">
      <w:pPr>
        <w:rPr>
          <w:rFonts w:ascii="Arial" w:hAnsi="Arial" w:cs="Arial"/>
        </w:rPr>
      </w:pPr>
    </w:p>
    <w:p w:rsidR="00FA0FDF" w:rsidRPr="00DE4BE0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b/>
          <w:bCs/>
          <w:noProof/>
          <w:color w:val="0000FF"/>
          <w:lang w:val="fr-FR"/>
        </w:rPr>
      </w:pPr>
    </w:p>
    <w:p w:rsidR="00FA0FDF" w:rsidRPr="00DE4BE0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b/>
          <w:bCs/>
          <w:noProof/>
          <w:color w:val="0000FF"/>
          <w:lang w:val="fr-FR"/>
        </w:rPr>
      </w:pPr>
      <w:r>
        <w:rPr>
          <w:rFonts w:ascii="Arial" w:hAnsi="Arial" w:cs="Arial"/>
          <w:b/>
          <w:bCs/>
          <w:noProof/>
          <w:lang w:val="fr-FR"/>
        </w:rPr>
        <w:t>1</w:t>
      </w:r>
      <w:r w:rsidRPr="00DE4BE0">
        <w:rPr>
          <w:rFonts w:ascii="Arial" w:hAnsi="Arial" w:cs="Arial"/>
          <w:b/>
          <w:bCs/>
          <w:noProof/>
          <w:lang w:val="fr-FR"/>
        </w:rPr>
        <w:t>.</w:t>
      </w:r>
      <w:r w:rsidRPr="00DE4BE0">
        <w:rPr>
          <w:rFonts w:ascii="Arial" w:hAnsi="Arial" w:cs="Arial"/>
          <w:noProof/>
          <w:color w:val="000000"/>
          <w:lang w:val="fr-FR"/>
        </w:rPr>
        <w:t xml:space="preserve"> În cadru</w:t>
      </w:r>
      <w:r>
        <w:rPr>
          <w:rFonts w:ascii="Arial" w:hAnsi="Arial" w:cs="Arial"/>
          <w:noProof/>
          <w:color w:val="000000"/>
          <w:lang w:val="fr-FR"/>
        </w:rPr>
        <w:t>l orelor de la modulele de specialitate</w:t>
      </w:r>
      <w:r w:rsidRPr="00DE4BE0">
        <w:rPr>
          <w:rFonts w:ascii="Arial" w:hAnsi="Arial" w:cs="Arial"/>
          <w:noProof/>
          <w:color w:val="000000"/>
          <w:lang w:val="fr-FR"/>
        </w:rPr>
        <w:t xml:space="preserve"> aţi realizat încadrarea şabloanelor bluzei pentru femei, atât pe material desfăcut cât și material dublu.</w:t>
      </w:r>
    </w:p>
    <w:p w:rsidR="00FA0FDF" w:rsidRPr="00DE4BE0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/>
          <w:lang w:val="fr-FR"/>
        </w:rPr>
      </w:pPr>
      <w:r w:rsidRPr="00DE4BE0">
        <w:rPr>
          <w:rFonts w:ascii="Arial" w:hAnsi="Arial" w:cs="Arial"/>
          <w:noProof/>
          <w:color w:val="000000"/>
          <w:lang w:val="fr-FR"/>
        </w:rPr>
        <w:t xml:space="preserve">         Pentru încadrarea A pe material dublu, s-a obţinut o lu</w:t>
      </w:r>
      <w:r>
        <w:rPr>
          <w:rFonts w:ascii="Arial" w:hAnsi="Arial" w:cs="Arial"/>
          <w:noProof/>
          <w:color w:val="000000"/>
          <w:lang w:val="fr-FR"/>
        </w:rPr>
        <w:t>ngime de încadrare de Lc = 0,90</w:t>
      </w:r>
      <w:r w:rsidRPr="00DE4BE0">
        <w:rPr>
          <w:rFonts w:ascii="Arial" w:hAnsi="Arial" w:cs="Arial"/>
          <w:noProof/>
          <w:color w:val="000000"/>
          <w:lang w:val="fr-FR"/>
        </w:rPr>
        <w:t>m.</w:t>
      </w:r>
    </w:p>
    <w:p w:rsidR="00FA0FDF" w:rsidRPr="00DE4BE0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/>
          <w:lang w:val="es-MX"/>
        </w:rPr>
      </w:pPr>
      <w:r w:rsidRPr="00DE4BE0">
        <w:rPr>
          <w:rFonts w:ascii="Arial" w:hAnsi="Arial" w:cs="Arial"/>
          <w:noProof/>
          <w:color w:val="000000"/>
          <w:lang w:val="fr-FR"/>
        </w:rPr>
        <w:t xml:space="preserve">         Pentru încadrarea B pe material desfăcut, s-a obţinut o lungime de încadrare </w:t>
      </w:r>
      <w:r>
        <w:rPr>
          <w:rFonts w:ascii="Arial" w:hAnsi="Arial" w:cs="Arial"/>
          <w:noProof/>
          <w:color w:val="000000"/>
          <w:lang w:val="es-MX"/>
        </w:rPr>
        <w:t>de Lc = 1,10</w:t>
      </w:r>
      <w:r w:rsidRPr="00DE4BE0">
        <w:rPr>
          <w:rFonts w:ascii="Arial" w:hAnsi="Arial" w:cs="Arial"/>
          <w:noProof/>
          <w:color w:val="000000"/>
          <w:lang w:val="es-MX"/>
        </w:rPr>
        <w:t xml:space="preserve"> m.</w:t>
      </w:r>
    </w:p>
    <w:p w:rsidR="00FA0FDF" w:rsidRPr="00DE4BE0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/>
          <w:vertAlign w:val="superscript"/>
          <w:lang w:val="es-MX"/>
        </w:rPr>
      </w:pPr>
      <w:r w:rsidRPr="00DE4BE0">
        <w:rPr>
          <w:rFonts w:ascii="Arial" w:hAnsi="Arial" w:cs="Arial"/>
          <w:noProof/>
          <w:color w:val="000000"/>
          <w:lang w:val="es-MX"/>
        </w:rPr>
        <w:t xml:space="preserve">         Suprafaţa şabloanelor bluzei determinată prin metoda planimetrării, este de Sş = 1,2 m</w:t>
      </w:r>
      <w:r w:rsidRPr="00DE4BE0">
        <w:rPr>
          <w:rFonts w:ascii="Arial" w:hAnsi="Arial" w:cs="Arial"/>
          <w:noProof/>
          <w:color w:val="000000"/>
          <w:vertAlign w:val="superscript"/>
          <w:lang w:val="es-MX"/>
        </w:rPr>
        <w:t>2</w:t>
      </w:r>
    </w:p>
    <w:p w:rsidR="00FA0FDF" w:rsidRPr="00DE4BE0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/>
          <w:lang w:val="fr-FR"/>
        </w:rPr>
      </w:pPr>
      <w:r w:rsidRPr="00DE4BE0">
        <w:rPr>
          <w:rFonts w:ascii="Arial" w:hAnsi="Arial" w:cs="Arial"/>
          <w:noProof/>
          <w:color w:val="000000"/>
          <w:lang w:val="fr-FR"/>
        </w:rPr>
        <w:t xml:space="preserve">Completaţi tabelul de mai jos calculând: </w:t>
      </w:r>
    </w:p>
    <w:p w:rsidR="00FA0FDF" w:rsidRPr="00DE4BE0" w:rsidRDefault="00FA0FDF" w:rsidP="00FA0FDF">
      <w:pPr>
        <w:numPr>
          <w:ilvl w:val="0"/>
          <w:numId w:val="1"/>
        </w:num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/>
          <w:lang w:val="fr-FR"/>
        </w:rPr>
      </w:pPr>
      <w:r w:rsidRPr="00DE4BE0">
        <w:rPr>
          <w:rFonts w:ascii="Arial" w:hAnsi="Arial" w:cs="Arial"/>
          <w:noProof/>
          <w:color w:val="000000"/>
          <w:lang w:val="fr-FR"/>
        </w:rPr>
        <w:t xml:space="preserve">consumul de material pentru o bluză, exprimat în </w:t>
      </w:r>
      <w:r w:rsidRPr="00DE4BE0">
        <w:rPr>
          <w:rFonts w:ascii="Arial" w:hAnsi="Arial" w:cs="Arial"/>
          <w:noProof/>
          <w:color w:val="000000"/>
        </w:rPr>
        <w:t>[</w:t>
      </w:r>
      <w:r w:rsidRPr="00DE4BE0">
        <w:rPr>
          <w:rFonts w:ascii="Arial" w:hAnsi="Arial" w:cs="Arial"/>
          <w:noProof/>
          <w:color w:val="000000"/>
          <w:lang w:val="fr-FR"/>
        </w:rPr>
        <w:t>m] şi [m</w:t>
      </w:r>
      <w:r w:rsidRPr="00DE4BE0">
        <w:rPr>
          <w:rFonts w:ascii="Arial" w:hAnsi="Arial" w:cs="Arial"/>
          <w:noProof/>
          <w:color w:val="000000"/>
          <w:vertAlign w:val="superscript"/>
          <w:lang w:val="fr-FR"/>
        </w:rPr>
        <w:t>2</w:t>
      </w:r>
      <w:r w:rsidRPr="00DE4BE0">
        <w:rPr>
          <w:rFonts w:ascii="Arial" w:hAnsi="Arial" w:cs="Arial"/>
          <w:noProof/>
          <w:color w:val="000000"/>
          <w:lang w:val="fr-FR"/>
        </w:rPr>
        <w:t>].</w:t>
      </w:r>
    </w:p>
    <w:p w:rsidR="00FA0FDF" w:rsidRPr="00DE4BE0" w:rsidRDefault="00FA0FDF" w:rsidP="00FA0FDF">
      <w:pPr>
        <w:numPr>
          <w:ilvl w:val="0"/>
          <w:numId w:val="1"/>
        </w:num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/>
          <w:lang w:val="fr-FR"/>
        </w:rPr>
      </w:pPr>
      <w:r w:rsidRPr="00DE4BE0">
        <w:rPr>
          <w:rFonts w:ascii="Arial" w:hAnsi="Arial" w:cs="Arial"/>
          <w:noProof/>
          <w:color w:val="000000"/>
          <w:lang w:val="fr-FR"/>
        </w:rPr>
        <w:t>valorile indicatorilor de eficienţă ai normei de consum.</w:t>
      </w:r>
    </w:p>
    <w:p w:rsidR="00FA0FDF" w:rsidRPr="00DE4BE0" w:rsidRDefault="00FA0FDF" w:rsidP="00FA0FDF">
      <w:pPr>
        <w:numPr>
          <w:ilvl w:val="0"/>
          <w:numId w:val="1"/>
        </w:num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lang w:val="fr-FR"/>
        </w:rPr>
      </w:pPr>
      <w:r w:rsidRPr="00DE4BE0">
        <w:rPr>
          <w:rFonts w:ascii="Arial" w:hAnsi="Arial" w:cs="Arial"/>
          <w:noProof/>
          <w:lang w:val="it-IT"/>
        </w:rPr>
        <w:t xml:space="preserve">menţionaţi care dintre cele două încadrări este mai eficientă. </w:t>
      </w:r>
      <w:r>
        <w:rPr>
          <w:rFonts w:ascii="Arial" w:hAnsi="Arial" w:cs="Arial"/>
          <w:noProof/>
          <w:lang w:val="fr-FR"/>
        </w:rPr>
        <w:t>Argumentaţi răspunsul.</w:t>
      </w:r>
    </w:p>
    <w:p w:rsidR="00FA0FDF" w:rsidRPr="00DE4BE0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FF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0"/>
        <w:gridCol w:w="1211"/>
        <w:gridCol w:w="1064"/>
        <w:gridCol w:w="1099"/>
        <w:gridCol w:w="1099"/>
        <w:gridCol w:w="1284"/>
        <w:gridCol w:w="1235"/>
        <w:gridCol w:w="1480"/>
      </w:tblGrid>
      <w:tr w:rsidR="00FA0FDF" w:rsidRPr="00DE4BE0" w:rsidTr="004316B4">
        <w:trPr>
          <w:cantSplit/>
        </w:trPr>
        <w:tc>
          <w:tcPr>
            <w:tcW w:w="821" w:type="dxa"/>
            <w:vMerge w:val="restart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  <w:lang w:val="fr-FR"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Inca-drare</w:t>
            </w:r>
          </w:p>
        </w:tc>
        <w:tc>
          <w:tcPr>
            <w:tcW w:w="1214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Lungime încadrare</w:t>
            </w:r>
          </w:p>
        </w:tc>
        <w:tc>
          <w:tcPr>
            <w:tcW w:w="1086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Lăţime material</w:t>
            </w:r>
          </w:p>
        </w:tc>
        <w:tc>
          <w:tcPr>
            <w:tcW w:w="1044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Consum în metri</w:t>
            </w:r>
          </w:p>
        </w:tc>
        <w:tc>
          <w:tcPr>
            <w:tcW w:w="1165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Consum în metri patraţi</w:t>
            </w:r>
          </w:p>
        </w:tc>
        <w:tc>
          <w:tcPr>
            <w:tcW w:w="1387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Coeficient utilizare al supafeţei</w:t>
            </w:r>
          </w:p>
        </w:tc>
        <w:tc>
          <w:tcPr>
            <w:tcW w:w="1426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Suprafaţă deşeuri</w:t>
            </w:r>
          </w:p>
        </w:tc>
        <w:tc>
          <w:tcPr>
            <w:tcW w:w="1456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Coeficientul pierderilor de material</w:t>
            </w:r>
          </w:p>
        </w:tc>
      </w:tr>
      <w:tr w:rsidR="00FA0FDF" w:rsidRPr="00DE4BE0" w:rsidTr="004316B4">
        <w:trPr>
          <w:cantSplit/>
        </w:trPr>
        <w:tc>
          <w:tcPr>
            <w:tcW w:w="821" w:type="dxa"/>
            <w:vMerge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214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Lînc</w:t>
            </w:r>
          </w:p>
        </w:tc>
        <w:tc>
          <w:tcPr>
            <w:tcW w:w="108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l mat</w:t>
            </w:r>
          </w:p>
        </w:tc>
        <w:tc>
          <w:tcPr>
            <w:tcW w:w="1044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C[m]</w:t>
            </w:r>
          </w:p>
        </w:tc>
        <w:tc>
          <w:tcPr>
            <w:tcW w:w="1165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C[m</w:t>
            </w:r>
            <w:r w:rsidRPr="00DE4BE0">
              <w:rPr>
                <w:rFonts w:ascii="Arial" w:hAnsi="Arial" w:cs="Arial"/>
                <w:noProof/>
                <w:vertAlign w:val="superscript"/>
              </w:rPr>
              <w:t xml:space="preserve">2 </w:t>
            </w:r>
            <w:r w:rsidRPr="00DE4BE0">
              <w:rPr>
                <w:rFonts w:ascii="Arial" w:hAnsi="Arial" w:cs="Arial"/>
                <w:noProof/>
              </w:rPr>
              <w:t>]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DE4BE0">
              <w:rPr>
                <w:rFonts w:ascii="Arial" w:hAnsi="Arial" w:cs="Arial"/>
                <w:noProof/>
              </w:rPr>
              <w:t>=Aî</w:t>
            </w:r>
          </w:p>
        </w:tc>
        <w:tc>
          <w:tcPr>
            <w:tcW w:w="1387" w:type="dxa"/>
          </w:tcPr>
          <w:p w:rsidR="00FA0FDF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K=</w:t>
            </w: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</w:rPr>
              <w:t xml:space="preserve"> (</w:t>
            </w:r>
            <w:proofErr w:type="spellStart"/>
            <w:r w:rsidRPr="00DE4BE0">
              <w:rPr>
                <w:rFonts w:ascii="Arial" w:hAnsi="Arial" w:cs="Arial"/>
              </w:rPr>
              <w:t>Sş</w:t>
            </w:r>
            <w:proofErr w:type="spellEnd"/>
            <w:r w:rsidRPr="00DE4BE0">
              <w:rPr>
                <w:rFonts w:ascii="Arial" w:hAnsi="Arial" w:cs="Arial"/>
              </w:rPr>
              <w:t xml:space="preserve"> / </w:t>
            </w:r>
            <w:proofErr w:type="spellStart"/>
            <w:r w:rsidRPr="00DE4BE0">
              <w:rPr>
                <w:rFonts w:ascii="Arial" w:hAnsi="Arial" w:cs="Arial"/>
              </w:rPr>
              <w:t>Aî</w:t>
            </w:r>
            <w:proofErr w:type="spellEnd"/>
            <w:r w:rsidRPr="00DE4BE0">
              <w:rPr>
                <w:rFonts w:ascii="Arial" w:hAnsi="Arial" w:cs="Arial"/>
              </w:rPr>
              <w:t>) x100 %</w:t>
            </w:r>
          </w:p>
        </w:tc>
        <w:tc>
          <w:tcPr>
            <w:tcW w:w="1426" w:type="dxa"/>
          </w:tcPr>
          <w:p w:rsidR="00FA0FDF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E4BE0">
              <w:rPr>
                <w:rFonts w:ascii="Arial" w:hAnsi="Arial" w:cs="Arial"/>
              </w:rPr>
              <w:t>Ap</w:t>
            </w:r>
            <w:proofErr w:type="spellEnd"/>
            <w:r w:rsidRPr="00DE4BE0">
              <w:rPr>
                <w:rFonts w:ascii="Arial" w:hAnsi="Arial" w:cs="Arial"/>
              </w:rPr>
              <w:t xml:space="preserve"> = </w:t>
            </w:r>
            <w:r>
              <w:rPr>
                <w:rFonts w:ascii="Arial" w:hAnsi="Arial" w:cs="Arial"/>
              </w:rPr>
              <w:t xml:space="preserve"> </w:t>
            </w: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proofErr w:type="spellStart"/>
            <w:r w:rsidRPr="00DE4BE0">
              <w:rPr>
                <w:rFonts w:ascii="Arial" w:hAnsi="Arial" w:cs="Arial"/>
              </w:rPr>
              <w:t>Aî</w:t>
            </w:r>
            <w:proofErr w:type="spellEnd"/>
            <w:r w:rsidRPr="00DE4BE0">
              <w:rPr>
                <w:rFonts w:ascii="Arial" w:hAnsi="Arial" w:cs="Arial"/>
              </w:rPr>
              <w:t xml:space="preserve"> -</w:t>
            </w:r>
            <w:proofErr w:type="spellStart"/>
            <w:r w:rsidRPr="00DE4BE0">
              <w:rPr>
                <w:rFonts w:ascii="Arial" w:hAnsi="Arial" w:cs="Arial"/>
              </w:rPr>
              <w:t>Sş</w:t>
            </w:r>
            <w:proofErr w:type="spellEnd"/>
          </w:p>
        </w:tc>
        <w:tc>
          <w:tcPr>
            <w:tcW w:w="1456" w:type="dxa"/>
          </w:tcPr>
          <w:p w:rsidR="00FA0FDF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 xml:space="preserve">P = </w:t>
            </w: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</w:rPr>
              <w:t>(</w:t>
            </w:r>
            <w:proofErr w:type="spellStart"/>
            <w:r w:rsidRPr="00DE4BE0">
              <w:rPr>
                <w:rFonts w:ascii="Arial" w:hAnsi="Arial" w:cs="Arial"/>
              </w:rPr>
              <w:t>Ap</w:t>
            </w:r>
            <w:proofErr w:type="spellEnd"/>
            <w:r w:rsidRPr="00DE4BE0">
              <w:rPr>
                <w:rFonts w:ascii="Arial" w:hAnsi="Arial" w:cs="Arial"/>
              </w:rPr>
              <w:t xml:space="preserve">/ </w:t>
            </w:r>
            <w:proofErr w:type="spellStart"/>
            <w:r w:rsidRPr="00DE4BE0">
              <w:rPr>
                <w:rFonts w:ascii="Arial" w:hAnsi="Arial" w:cs="Arial"/>
              </w:rPr>
              <w:t>Aî</w:t>
            </w:r>
            <w:proofErr w:type="spellEnd"/>
            <w:r w:rsidRPr="00DE4BE0">
              <w:rPr>
                <w:rFonts w:ascii="Arial" w:hAnsi="Arial" w:cs="Arial"/>
              </w:rPr>
              <w:t>) x100 %</w:t>
            </w:r>
          </w:p>
        </w:tc>
      </w:tr>
      <w:tr w:rsidR="00FA0FDF" w:rsidRPr="00DE4BE0" w:rsidTr="004316B4">
        <w:tc>
          <w:tcPr>
            <w:tcW w:w="821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A</w:t>
            </w: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214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08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044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165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  <w:vertAlign w:val="superscript"/>
              </w:rPr>
            </w:pPr>
          </w:p>
        </w:tc>
        <w:tc>
          <w:tcPr>
            <w:tcW w:w="1387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42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  <w:vertAlign w:val="superscript"/>
              </w:rPr>
            </w:pPr>
          </w:p>
        </w:tc>
        <w:tc>
          <w:tcPr>
            <w:tcW w:w="145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</w:tr>
      <w:tr w:rsidR="00FA0FDF" w:rsidRPr="00DE4BE0" w:rsidTr="004316B4">
        <w:tc>
          <w:tcPr>
            <w:tcW w:w="821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B</w:t>
            </w: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214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08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044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165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  <w:vertAlign w:val="superscript"/>
              </w:rPr>
            </w:pPr>
          </w:p>
        </w:tc>
        <w:tc>
          <w:tcPr>
            <w:tcW w:w="1387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42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  <w:vertAlign w:val="superscript"/>
              </w:rPr>
            </w:pPr>
          </w:p>
        </w:tc>
        <w:tc>
          <w:tcPr>
            <w:tcW w:w="145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</w:tc>
      </w:tr>
      <w:tr w:rsidR="00FA0FDF" w:rsidRPr="00DE4BE0" w:rsidTr="004316B4">
        <w:trPr>
          <w:cantSplit/>
        </w:trPr>
        <w:tc>
          <w:tcPr>
            <w:tcW w:w="9599" w:type="dxa"/>
            <w:gridSpan w:val="8"/>
            <w:shd w:val="clear" w:color="auto" w:fill="FFFFFF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Cs/>
                <w:noProof/>
                <w:lang w:val="fr-FR"/>
              </w:rPr>
            </w:pPr>
            <w:r w:rsidRPr="00DE4BE0">
              <w:rPr>
                <w:rFonts w:ascii="Arial" w:hAnsi="Arial" w:cs="Arial"/>
                <w:bCs/>
                <w:noProof/>
                <w:lang w:val="fr-FR"/>
              </w:rPr>
              <w:t>Argument</w:t>
            </w: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Cs/>
                <w:noProof/>
                <w:lang w:val="fr-FR"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Cs/>
                <w:noProof/>
                <w:lang w:val="fr-FR"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Cs/>
                <w:noProof/>
                <w:lang w:val="fr-FR"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  <w:lang w:val="fr-FR"/>
              </w:rPr>
            </w:pPr>
          </w:p>
        </w:tc>
      </w:tr>
    </w:tbl>
    <w:p w:rsidR="00FA0FDF" w:rsidRPr="00DE4BE0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FF"/>
          <w:lang w:val="fr-FR"/>
        </w:rPr>
      </w:pPr>
    </w:p>
    <w:p w:rsidR="00FA0FDF" w:rsidRPr="00A01081" w:rsidRDefault="00FA0FDF" w:rsidP="00FA0FDF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FA0FDF" w:rsidRDefault="00FA0FDF" w:rsidP="00FA0FDF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FA0FDF" w:rsidRPr="00B373B3" w:rsidRDefault="00FA0FDF" w:rsidP="00FA0FDF">
      <w:pPr>
        <w:outlineLvl w:val="0"/>
        <w:rPr>
          <w:rFonts w:ascii="Arial" w:hAnsi="Arial" w:cs="Arial"/>
          <w:color w:val="000000" w:themeColor="text1"/>
          <w:lang w:val="ro-RO"/>
        </w:rPr>
      </w:pPr>
      <w:r w:rsidRPr="000D79A3">
        <w:rPr>
          <w:rFonts w:ascii="Arial" w:hAnsi="Arial" w:cs="Arial"/>
          <w:bCs/>
          <w:color w:val="000000" w:themeColor="text1"/>
          <w:lang w:val="ro-RO"/>
        </w:rPr>
        <w:t>Se acceptă orice rezolvare corectă.</w:t>
      </w:r>
    </w:p>
    <w:p w:rsidR="00FA0FDF" w:rsidRPr="005350EB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FF"/>
          <w:lang w:val="ro-RO"/>
        </w:rPr>
      </w:pPr>
    </w:p>
    <w:p w:rsidR="00FA0FDF" w:rsidRPr="001B5772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 w:themeColor="text1"/>
          <w:lang w:val="fr-FR"/>
        </w:rPr>
      </w:pPr>
      <w:r w:rsidRPr="001B5772">
        <w:rPr>
          <w:rFonts w:ascii="Arial" w:hAnsi="Arial" w:cs="Arial"/>
          <w:noProof/>
          <w:color w:val="000000" w:themeColor="text1"/>
          <w:lang w:val="fr-FR"/>
        </w:rPr>
        <w:t>C [m] =L înc</w:t>
      </w:r>
    </w:p>
    <w:p w:rsidR="00FA0FDF" w:rsidRPr="001B5772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 w:themeColor="text1"/>
          <w:lang w:val="fr-FR"/>
        </w:rPr>
      </w:pPr>
    </w:p>
    <w:p w:rsidR="00FA0FDF" w:rsidRPr="001B5772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 w:themeColor="text1"/>
          <w:lang w:val="fr-FR"/>
        </w:rPr>
      </w:pPr>
      <w:r w:rsidRPr="001B5772">
        <w:rPr>
          <w:rFonts w:ascii="Arial" w:hAnsi="Arial" w:cs="Arial"/>
          <w:noProof/>
          <w:color w:val="000000" w:themeColor="text1"/>
          <w:lang w:val="fr-FR"/>
        </w:rPr>
        <w:t>C [m</w:t>
      </w:r>
      <w:r w:rsidRPr="001B5772">
        <w:rPr>
          <w:rFonts w:ascii="Arial" w:hAnsi="Arial" w:cs="Arial"/>
          <w:noProof/>
          <w:color w:val="000000" w:themeColor="text1"/>
          <w:vertAlign w:val="superscript"/>
          <w:lang w:val="fr-FR"/>
        </w:rPr>
        <w:t>2</w:t>
      </w:r>
      <w:r w:rsidRPr="001B5772">
        <w:rPr>
          <w:rFonts w:ascii="Arial" w:hAnsi="Arial" w:cs="Arial"/>
          <w:noProof/>
          <w:color w:val="000000" w:themeColor="text1"/>
          <w:lang w:val="fr-FR"/>
        </w:rPr>
        <w:t>] = L înc x l mat</w:t>
      </w:r>
    </w:p>
    <w:p w:rsidR="00FA0FDF" w:rsidRPr="001B5772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 w:themeColor="text1"/>
          <w:vertAlign w:val="superscript"/>
          <w:lang w:val="fr-FR"/>
        </w:rPr>
      </w:pPr>
      <w:r w:rsidRPr="004A77C8">
        <w:rPr>
          <w:rFonts w:ascii="Arial" w:hAnsi="Arial" w:cs="Arial"/>
          <w:b/>
          <w:noProof/>
          <w:color w:val="000000" w:themeColor="text1"/>
          <w:lang w:val="fr-FR"/>
        </w:rPr>
        <w:t>A.</w:t>
      </w:r>
      <w:r w:rsidRPr="001B5772">
        <w:rPr>
          <w:rFonts w:ascii="Arial" w:hAnsi="Arial" w:cs="Arial"/>
          <w:noProof/>
          <w:color w:val="000000" w:themeColor="text1"/>
          <w:lang w:val="fr-FR"/>
        </w:rPr>
        <w:t xml:space="preserve"> C [m</w:t>
      </w:r>
      <w:r w:rsidRPr="001B5772">
        <w:rPr>
          <w:rFonts w:ascii="Arial" w:hAnsi="Arial" w:cs="Arial"/>
          <w:noProof/>
          <w:color w:val="000000" w:themeColor="text1"/>
          <w:vertAlign w:val="superscript"/>
          <w:lang w:val="fr-FR"/>
        </w:rPr>
        <w:t>2</w:t>
      </w:r>
      <w:r w:rsidRPr="001B5772">
        <w:rPr>
          <w:rFonts w:ascii="Arial" w:hAnsi="Arial" w:cs="Arial"/>
          <w:noProof/>
          <w:color w:val="000000" w:themeColor="text1"/>
          <w:lang w:val="fr-FR"/>
        </w:rPr>
        <w:t>] = 0,90 x 1,50=1,35 m</w:t>
      </w:r>
      <w:r w:rsidRPr="001B5772">
        <w:rPr>
          <w:rFonts w:ascii="Arial" w:hAnsi="Arial" w:cs="Arial"/>
          <w:noProof/>
          <w:color w:val="000000" w:themeColor="text1"/>
          <w:vertAlign w:val="superscript"/>
          <w:lang w:val="fr-FR"/>
        </w:rPr>
        <w:t>2</w:t>
      </w:r>
    </w:p>
    <w:p w:rsidR="00FA0FDF" w:rsidRPr="001B5772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 w:themeColor="text1"/>
          <w:vertAlign w:val="superscript"/>
          <w:lang w:val="fr-FR"/>
        </w:rPr>
      </w:pPr>
      <w:r w:rsidRPr="004A77C8">
        <w:rPr>
          <w:rFonts w:ascii="Arial" w:hAnsi="Arial" w:cs="Arial"/>
          <w:b/>
          <w:noProof/>
          <w:color w:val="000000" w:themeColor="text1"/>
          <w:lang w:val="fr-FR"/>
        </w:rPr>
        <w:t>B.</w:t>
      </w:r>
      <w:r w:rsidRPr="001B5772">
        <w:rPr>
          <w:rFonts w:ascii="Arial" w:hAnsi="Arial" w:cs="Arial"/>
          <w:noProof/>
          <w:color w:val="000000" w:themeColor="text1"/>
          <w:lang w:val="fr-FR"/>
        </w:rPr>
        <w:t xml:space="preserve"> C [m</w:t>
      </w:r>
      <w:r w:rsidRPr="001B5772">
        <w:rPr>
          <w:rFonts w:ascii="Arial" w:hAnsi="Arial" w:cs="Arial"/>
          <w:noProof/>
          <w:color w:val="000000" w:themeColor="text1"/>
          <w:vertAlign w:val="superscript"/>
          <w:lang w:val="fr-FR"/>
        </w:rPr>
        <w:t>2</w:t>
      </w:r>
      <w:r w:rsidRPr="001B5772">
        <w:rPr>
          <w:rFonts w:ascii="Arial" w:hAnsi="Arial" w:cs="Arial"/>
          <w:noProof/>
          <w:color w:val="000000" w:themeColor="text1"/>
          <w:lang w:val="fr-FR"/>
        </w:rPr>
        <w:t>] = 1,10 x 1,50=1,65 m</w:t>
      </w:r>
      <w:r w:rsidRPr="001B5772">
        <w:rPr>
          <w:rFonts w:ascii="Arial" w:hAnsi="Arial" w:cs="Arial"/>
          <w:noProof/>
          <w:color w:val="000000" w:themeColor="text1"/>
          <w:vertAlign w:val="superscript"/>
          <w:lang w:val="fr-FR"/>
        </w:rPr>
        <w:t>2</w:t>
      </w:r>
    </w:p>
    <w:p w:rsidR="00FA0FDF" w:rsidRPr="001B5772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 w:themeColor="text1"/>
          <w:lang w:val="fr-FR"/>
        </w:rPr>
      </w:pPr>
    </w:p>
    <w:p w:rsidR="00FA0FDF" w:rsidRPr="001B5772" w:rsidRDefault="00FA0FDF" w:rsidP="00FA0FDF">
      <w:pPr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rPr>
          <w:rFonts w:ascii="Arial" w:hAnsi="Arial" w:cs="Arial"/>
          <w:color w:val="000000" w:themeColor="text1"/>
          <w:lang w:val="fr-FR"/>
        </w:rPr>
      </w:pPr>
      <w:r w:rsidRPr="001B5772">
        <w:rPr>
          <w:rFonts w:ascii="Arial" w:hAnsi="Arial" w:cs="Arial"/>
          <w:color w:val="000000" w:themeColor="text1"/>
          <w:lang w:val="fr-FR"/>
        </w:rPr>
        <w:t>K= (</w:t>
      </w:r>
      <w:proofErr w:type="spellStart"/>
      <w:r w:rsidRPr="001B5772">
        <w:rPr>
          <w:rFonts w:ascii="Arial" w:hAnsi="Arial" w:cs="Arial"/>
          <w:color w:val="000000" w:themeColor="text1"/>
          <w:lang w:val="fr-FR"/>
        </w:rPr>
        <w:t>Sş</w:t>
      </w:r>
      <w:proofErr w:type="spellEnd"/>
      <w:r w:rsidRPr="001B5772">
        <w:rPr>
          <w:rFonts w:ascii="Arial" w:hAnsi="Arial" w:cs="Arial"/>
          <w:color w:val="000000" w:themeColor="text1"/>
          <w:lang w:val="fr-FR"/>
        </w:rPr>
        <w:t xml:space="preserve"> / </w:t>
      </w:r>
      <w:proofErr w:type="spellStart"/>
      <w:r w:rsidRPr="001B5772">
        <w:rPr>
          <w:rFonts w:ascii="Arial" w:hAnsi="Arial" w:cs="Arial"/>
          <w:color w:val="000000" w:themeColor="text1"/>
          <w:lang w:val="fr-FR"/>
        </w:rPr>
        <w:t>Aî</w:t>
      </w:r>
      <w:proofErr w:type="spellEnd"/>
      <w:r w:rsidRPr="001B5772">
        <w:rPr>
          <w:rFonts w:ascii="Arial" w:hAnsi="Arial" w:cs="Arial"/>
          <w:color w:val="000000" w:themeColor="text1"/>
          <w:lang w:val="fr-FR"/>
        </w:rPr>
        <w:t>) x100 %</w:t>
      </w:r>
    </w:p>
    <w:p w:rsidR="00FA0FDF" w:rsidRPr="001B5772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 w:themeColor="text1"/>
          <w:lang w:val="fr-FR"/>
        </w:rPr>
      </w:pPr>
      <w:r w:rsidRPr="004A77C8">
        <w:rPr>
          <w:rFonts w:ascii="Arial" w:hAnsi="Arial" w:cs="Arial"/>
          <w:b/>
          <w:noProof/>
          <w:color w:val="000000" w:themeColor="text1"/>
          <w:lang w:val="fr-FR"/>
        </w:rPr>
        <w:t>A.</w:t>
      </w:r>
      <w:r>
        <w:rPr>
          <w:rFonts w:ascii="Arial" w:hAnsi="Arial" w:cs="Arial"/>
          <w:noProof/>
          <w:color w:val="000000" w:themeColor="text1"/>
          <w:lang w:val="fr-FR"/>
        </w:rPr>
        <w:t xml:space="preserve"> </w:t>
      </w:r>
      <w:r w:rsidRPr="001B5772">
        <w:rPr>
          <w:rFonts w:ascii="Arial" w:hAnsi="Arial" w:cs="Arial"/>
          <w:noProof/>
          <w:color w:val="000000" w:themeColor="text1"/>
          <w:lang w:val="fr-FR"/>
        </w:rPr>
        <w:t>K=(1,2/1,35)x100=88,88 %</w:t>
      </w:r>
    </w:p>
    <w:p w:rsidR="00FA0FDF" w:rsidRPr="00D244CC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 w:themeColor="text1"/>
          <w:lang w:val="fr-FR"/>
        </w:rPr>
      </w:pPr>
      <w:r w:rsidRPr="004A77C8">
        <w:rPr>
          <w:rFonts w:ascii="Arial" w:hAnsi="Arial" w:cs="Arial"/>
          <w:b/>
          <w:noProof/>
          <w:color w:val="000000" w:themeColor="text1"/>
          <w:lang w:val="fr-FR"/>
        </w:rPr>
        <w:t>B.</w:t>
      </w:r>
      <w:r>
        <w:rPr>
          <w:rFonts w:ascii="Arial" w:hAnsi="Arial" w:cs="Arial"/>
          <w:noProof/>
          <w:color w:val="000000" w:themeColor="text1"/>
          <w:lang w:val="fr-FR"/>
        </w:rPr>
        <w:t xml:space="preserve"> </w:t>
      </w:r>
      <w:r w:rsidRPr="001B5772">
        <w:rPr>
          <w:rFonts w:ascii="Arial" w:hAnsi="Arial" w:cs="Arial"/>
          <w:noProof/>
          <w:color w:val="000000" w:themeColor="text1"/>
          <w:lang w:val="fr-FR"/>
        </w:rPr>
        <w:t>K=(1,2/1,65)x100=</w:t>
      </w:r>
      <w:r w:rsidRPr="00D244CC">
        <w:rPr>
          <w:rFonts w:ascii="Arial" w:hAnsi="Arial" w:cs="Arial"/>
          <w:noProof/>
          <w:color w:val="000000" w:themeColor="text1"/>
          <w:lang w:val="fr-FR"/>
        </w:rPr>
        <w:t>72,72%</w:t>
      </w:r>
    </w:p>
    <w:p w:rsidR="00FA0FDF" w:rsidRPr="00D244CC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 w:themeColor="text1"/>
          <w:lang w:val="fr-FR"/>
        </w:rPr>
      </w:pPr>
    </w:p>
    <w:p w:rsidR="00FA0FDF" w:rsidRPr="001B5772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color w:val="000000" w:themeColor="text1"/>
        </w:rPr>
      </w:pPr>
      <w:proofErr w:type="spellStart"/>
      <w:proofErr w:type="gramStart"/>
      <w:r w:rsidRPr="001B5772">
        <w:rPr>
          <w:rFonts w:ascii="Arial" w:hAnsi="Arial" w:cs="Arial"/>
          <w:color w:val="000000" w:themeColor="text1"/>
        </w:rPr>
        <w:t>Ap</w:t>
      </w:r>
      <w:proofErr w:type="spellEnd"/>
      <w:proofErr w:type="gramEnd"/>
      <w:r w:rsidRPr="001B5772">
        <w:rPr>
          <w:rFonts w:ascii="Arial" w:hAnsi="Arial" w:cs="Arial"/>
          <w:color w:val="000000" w:themeColor="text1"/>
        </w:rPr>
        <w:t xml:space="preserve"> = </w:t>
      </w:r>
      <w:proofErr w:type="spellStart"/>
      <w:r w:rsidRPr="001B5772">
        <w:rPr>
          <w:rFonts w:ascii="Arial" w:hAnsi="Arial" w:cs="Arial"/>
          <w:color w:val="000000" w:themeColor="text1"/>
        </w:rPr>
        <w:t>Aî</w:t>
      </w:r>
      <w:proofErr w:type="spellEnd"/>
      <w:r w:rsidRPr="001B5772">
        <w:rPr>
          <w:rFonts w:ascii="Arial" w:hAnsi="Arial" w:cs="Arial"/>
          <w:color w:val="000000" w:themeColor="text1"/>
        </w:rPr>
        <w:t xml:space="preserve"> –</w:t>
      </w:r>
      <w:proofErr w:type="spellStart"/>
      <w:r w:rsidRPr="001B5772">
        <w:rPr>
          <w:rFonts w:ascii="Arial" w:hAnsi="Arial" w:cs="Arial"/>
          <w:color w:val="000000" w:themeColor="text1"/>
        </w:rPr>
        <w:t>Sş</w:t>
      </w:r>
      <w:proofErr w:type="spellEnd"/>
    </w:p>
    <w:p w:rsidR="00FA0FDF" w:rsidRPr="001B5772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 w:themeColor="text1"/>
          <w:vertAlign w:val="superscript"/>
          <w:lang w:val="fr-FR"/>
        </w:rPr>
      </w:pPr>
      <w:r w:rsidRPr="004A77C8">
        <w:rPr>
          <w:rFonts w:ascii="Arial" w:hAnsi="Arial" w:cs="Arial"/>
          <w:b/>
          <w:color w:val="000000" w:themeColor="text1"/>
        </w:rPr>
        <w:t>A.</w:t>
      </w:r>
      <w:r>
        <w:rPr>
          <w:rFonts w:ascii="Arial" w:hAnsi="Arial" w:cs="Arial"/>
          <w:color w:val="000000" w:themeColor="text1"/>
        </w:rPr>
        <w:t xml:space="preserve"> </w:t>
      </w:r>
      <w:proofErr w:type="spellStart"/>
      <w:r w:rsidRPr="001B5772">
        <w:rPr>
          <w:rFonts w:ascii="Arial" w:hAnsi="Arial" w:cs="Arial"/>
          <w:color w:val="000000" w:themeColor="text1"/>
        </w:rPr>
        <w:t>Ap</w:t>
      </w:r>
      <w:proofErr w:type="spellEnd"/>
      <w:r w:rsidRPr="001B5772">
        <w:rPr>
          <w:rFonts w:ascii="Arial" w:hAnsi="Arial" w:cs="Arial"/>
          <w:color w:val="000000" w:themeColor="text1"/>
        </w:rPr>
        <w:t>=1</w:t>
      </w:r>
      <w:proofErr w:type="gramStart"/>
      <w:r w:rsidRPr="001B5772">
        <w:rPr>
          <w:rFonts w:ascii="Arial" w:hAnsi="Arial" w:cs="Arial"/>
          <w:color w:val="000000" w:themeColor="text1"/>
        </w:rPr>
        <w:t>,35</w:t>
      </w:r>
      <w:proofErr w:type="gramEnd"/>
      <w:r w:rsidRPr="001B5772">
        <w:rPr>
          <w:rFonts w:ascii="Arial" w:hAnsi="Arial" w:cs="Arial"/>
          <w:color w:val="000000" w:themeColor="text1"/>
        </w:rPr>
        <w:t>-1,2=0,15m</w:t>
      </w:r>
      <w:r w:rsidRPr="001B5772">
        <w:rPr>
          <w:rFonts w:ascii="Arial" w:hAnsi="Arial" w:cs="Arial"/>
          <w:color w:val="000000" w:themeColor="text1"/>
          <w:vertAlign w:val="superscript"/>
        </w:rPr>
        <w:t>2</w:t>
      </w:r>
    </w:p>
    <w:p w:rsidR="00FA0FDF" w:rsidRPr="001B5772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00" w:themeColor="text1"/>
          <w:vertAlign w:val="superscript"/>
          <w:lang w:val="fr-FR"/>
        </w:rPr>
      </w:pPr>
      <w:r w:rsidRPr="004A77C8">
        <w:rPr>
          <w:rFonts w:ascii="Arial" w:hAnsi="Arial" w:cs="Arial"/>
          <w:b/>
          <w:color w:val="000000" w:themeColor="text1"/>
        </w:rPr>
        <w:t>B.</w:t>
      </w:r>
      <w:r>
        <w:rPr>
          <w:rFonts w:ascii="Arial" w:hAnsi="Arial" w:cs="Arial"/>
          <w:color w:val="000000" w:themeColor="text1"/>
        </w:rPr>
        <w:t xml:space="preserve"> </w:t>
      </w:r>
      <w:proofErr w:type="spellStart"/>
      <w:r w:rsidRPr="001B5772">
        <w:rPr>
          <w:rFonts w:ascii="Arial" w:hAnsi="Arial" w:cs="Arial"/>
          <w:color w:val="000000" w:themeColor="text1"/>
        </w:rPr>
        <w:t>Ap</w:t>
      </w:r>
      <w:proofErr w:type="spellEnd"/>
      <w:r w:rsidRPr="001B5772">
        <w:rPr>
          <w:rFonts w:ascii="Arial" w:hAnsi="Arial" w:cs="Arial"/>
          <w:color w:val="000000" w:themeColor="text1"/>
        </w:rPr>
        <w:t>=1</w:t>
      </w:r>
      <w:proofErr w:type="gramStart"/>
      <w:r w:rsidRPr="001B5772">
        <w:rPr>
          <w:rFonts w:ascii="Arial" w:hAnsi="Arial" w:cs="Arial"/>
          <w:color w:val="000000" w:themeColor="text1"/>
        </w:rPr>
        <w:t>,65</w:t>
      </w:r>
      <w:proofErr w:type="gramEnd"/>
      <w:r w:rsidRPr="001B5772">
        <w:rPr>
          <w:rFonts w:ascii="Arial" w:hAnsi="Arial" w:cs="Arial"/>
          <w:color w:val="000000" w:themeColor="text1"/>
        </w:rPr>
        <w:t>-1,2=0,45m</w:t>
      </w:r>
      <w:r w:rsidRPr="001B5772">
        <w:rPr>
          <w:rFonts w:ascii="Arial" w:hAnsi="Arial" w:cs="Arial"/>
          <w:color w:val="000000" w:themeColor="text1"/>
          <w:vertAlign w:val="superscript"/>
        </w:rPr>
        <w:t>2</w:t>
      </w:r>
    </w:p>
    <w:p w:rsidR="00FA0FDF" w:rsidRPr="001B5772" w:rsidRDefault="00FA0FDF" w:rsidP="00FA0FDF">
      <w:pPr>
        <w:shd w:val="clear" w:color="auto" w:fill="FFFFFF"/>
        <w:tabs>
          <w:tab w:val="left" w:pos="1260"/>
        </w:tabs>
        <w:jc w:val="both"/>
        <w:rPr>
          <w:rFonts w:ascii="Arial" w:hAnsi="Arial" w:cs="Arial"/>
          <w:noProof/>
          <w:color w:val="000000" w:themeColor="text1"/>
          <w:lang w:val="fr-FR"/>
        </w:rPr>
      </w:pPr>
      <w:r w:rsidRPr="001B5772">
        <w:rPr>
          <w:rFonts w:ascii="Arial" w:hAnsi="Arial" w:cs="Arial"/>
          <w:noProof/>
          <w:color w:val="000000" w:themeColor="text1"/>
          <w:lang w:val="fr-FR"/>
        </w:rPr>
        <w:tab/>
      </w:r>
    </w:p>
    <w:p w:rsidR="00FA0FDF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FF"/>
          <w:lang w:val="fr-FR"/>
        </w:rPr>
      </w:pPr>
    </w:p>
    <w:p w:rsidR="00FA0FDF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</w:rPr>
      </w:pPr>
      <w:r w:rsidRPr="00DE4BE0">
        <w:rPr>
          <w:rFonts w:ascii="Arial" w:hAnsi="Arial" w:cs="Arial"/>
        </w:rPr>
        <w:t>P = (</w:t>
      </w:r>
      <w:proofErr w:type="spellStart"/>
      <w:proofErr w:type="gramStart"/>
      <w:r w:rsidRPr="00DE4BE0">
        <w:rPr>
          <w:rFonts w:ascii="Arial" w:hAnsi="Arial" w:cs="Arial"/>
        </w:rPr>
        <w:t>Ap</w:t>
      </w:r>
      <w:proofErr w:type="spellEnd"/>
      <w:proofErr w:type="gramEnd"/>
      <w:r w:rsidRPr="00DE4BE0">
        <w:rPr>
          <w:rFonts w:ascii="Arial" w:hAnsi="Arial" w:cs="Arial"/>
        </w:rPr>
        <w:t xml:space="preserve">/ </w:t>
      </w:r>
      <w:proofErr w:type="spellStart"/>
      <w:r w:rsidRPr="00DE4BE0">
        <w:rPr>
          <w:rFonts w:ascii="Arial" w:hAnsi="Arial" w:cs="Arial"/>
        </w:rPr>
        <w:t>Aî</w:t>
      </w:r>
      <w:proofErr w:type="spellEnd"/>
      <w:r w:rsidRPr="00DE4BE0">
        <w:rPr>
          <w:rFonts w:ascii="Arial" w:hAnsi="Arial" w:cs="Arial"/>
        </w:rPr>
        <w:t>) x100 %</w:t>
      </w:r>
    </w:p>
    <w:p w:rsidR="00FA0FDF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FF"/>
          <w:lang w:val="fr-FR"/>
        </w:rPr>
      </w:pPr>
      <w:r w:rsidRPr="004A77C8">
        <w:rPr>
          <w:rFonts w:ascii="Arial" w:hAnsi="Arial" w:cs="Arial"/>
          <w:b/>
        </w:rPr>
        <w:t>A.</w:t>
      </w:r>
      <w:r>
        <w:rPr>
          <w:rFonts w:ascii="Arial" w:hAnsi="Arial" w:cs="Arial"/>
        </w:rPr>
        <w:t xml:space="preserve"> P</w:t>
      </w:r>
      <w:proofErr w:type="gramStart"/>
      <w:r>
        <w:rPr>
          <w:rFonts w:ascii="Arial" w:hAnsi="Arial" w:cs="Arial"/>
        </w:rPr>
        <w:t>=(</w:t>
      </w:r>
      <w:proofErr w:type="gramEnd"/>
      <w:r>
        <w:rPr>
          <w:rFonts w:ascii="Arial" w:hAnsi="Arial" w:cs="Arial"/>
        </w:rPr>
        <w:t>0.15/1,35)x100=11,12%</w:t>
      </w:r>
    </w:p>
    <w:p w:rsidR="00FA0FDF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FF"/>
          <w:lang w:val="fr-FR"/>
        </w:rPr>
      </w:pPr>
      <w:r w:rsidRPr="004A77C8">
        <w:rPr>
          <w:rFonts w:ascii="Arial" w:hAnsi="Arial" w:cs="Arial"/>
          <w:b/>
        </w:rPr>
        <w:t>B.</w:t>
      </w:r>
      <w:r>
        <w:rPr>
          <w:rFonts w:ascii="Arial" w:hAnsi="Arial" w:cs="Arial"/>
        </w:rPr>
        <w:t xml:space="preserve"> P</w:t>
      </w:r>
      <w:proofErr w:type="gramStart"/>
      <w:r>
        <w:rPr>
          <w:rFonts w:ascii="Arial" w:hAnsi="Arial" w:cs="Arial"/>
        </w:rPr>
        <w:t>=(</w:t>
      </w:r>
      <w:proofErr w:type="gramEnd"/>
      <w:r>
        <w:rPr>
          <w:rFonts w:ascii="Arial" w:hAnsi="Arial" w:cs="Arial"/>
        </w:rPr>
        <w:t>0.45/1,65)x100=27,28%</w:t>
      </w:r>
    </w:p>
    <w:p w:rsidR="00FA0FDF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FF"/>
          <w:lang w:val="fr-FR"/>
        </w:rPr>
      </w:pPr>
    </w:p>
    <w:p w:rsidR="00FA0FDF" w:rsidRDefault="00FA0FDF" w:rsidP="00FA0FDF">
      <w:p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jc w:val="both"/>
        <w:rPr>
          <w:rFonts w:ascii="Arial" w:hAnsi="Arial" w:cs="Arial"/>
          <w:noProof/>
          <w:color w:val="0000FF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0"/>
        <w:gridCol w:w="1211"/>
        <w:gridCol w:w="1064"/>
        <w:gridCol w:w="1099"/>
        <w:gridCol w:w="1099"/>
        <w:gridCol w:w="1284"/>
        <w:gridCol w:w="1235"/>
        <w:gridCol w:w="1480"/>
      </w:tblGrid>
      <w:tr w:rsidR="00FA0FDF" w:rsidRPr="00DE4BE0" w:rsidTr="004316B4">
        <w:trPr>
          <w:cantSplit/>
        </w:trPr>
        <w:tc>
          <w:tcPr>
            <w:tcW w:w="821" w:type="dxa"/>
            <w:vMerge w:val="restart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  <w:lang w:val="fr-FR"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Inca-drare</w:t>
            </w:r>
          </w:p>
        </w:tc>
        <w:tc>
          <w:tcPr>
            <w:tcW w:w="1297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Lungime încadrare</w:t>
            </w:r>
          </w:p>
        </w:tc>
        <w:tc>
          <w:tcPr>
            <w:tcW w:w="1137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Lăţime material</w:t>
            </w:r>
          </w:p>
        </w:tc>
        <w:tc>
          <w:tcPr>
            <w:tcW w:w="1176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Consum în metri</w:t>
            </w:r>
          </w:p>
        </w:tc>
        <w:tc>
          <w:tcPr>
            <w:tcW w:w="1176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Consum în metri patraţi</w:t>
            </w:r>
          </w:p>
        </w:tc>
        <w:tc>
          <w:tcPr>
            <w:tcW w:w="1387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Coeficient utilizare al supafeţei</w:t>
            </w:r>
          </w:p>
        </w:tc>
        <w:tc>
          <w:tcPr>
            <w:tcW w:w="1426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Suprafaţă deşeuri</w:t>
            </w:r>
          </w:p>
        </w:tc>
        <w:tc>
          <w:tcPr>
            <w:tcW w:w="1590" w:type="dxa"/>
            <w:shd w:val="clear" w:color="auto" w:fill="D9D9D9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DE4BE0">
              <w:rPr>
                <w:rFonts w:ascii="Arial" w:hAnsi="Arial" w:cs="Arial"/>
                <w:b/>
                <w:bCs/>
                <w:noProof/>
              </w:rPr>
              <w:t>Coeficientul pierderilor de material</w:t>
            </w:r>
          </w:p>
        </w:tc>
      </w:tr>
      <w:tr w:rsidR="00FA0FDF" w:rsidRPr="00DE4BE0" w:rsidTr="004316B4">
        <w:trPr>
          <w:cantSplit/>
        </w:trPr>
        <w:tc>
          <w:tcPr>
            <w:tcW w:w="821" w:type="dxa"/>
            <w:vMerge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297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Lînc</w:t>
            </w:r>
          </w:p>
        </w:tc>
        <w:tc>
          <w:tcPr>
            <w:tcW w:w="1137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l mat</w:t>
            </w:r>
          </w:p>
        </w:tc>
        <w:tc>
          <w:tcPr>
            <w:tcW w:w="117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C[m]</w:t>
            </w:r>
          </w:p>
        </w:tc>
        <w:tc>
          <w:tcPr>
            <w:tcW w:w="117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C[m</w:t>
            </w:r>
            <w:r w:rsidRPr="00DE4BE0">
              <w:rPr>
                <w:rFonts w:ascii="Arial" w:hAnsi="Arial" w:cs="Arial"/>
                <w:noProof/>
                <w:vertAlign w:val="superscript"/>
              </w:rPr>
              <w:t xml:space="preserve">2 </w:t>
            </w:r>
            <w:r w:rsidRPr="00DE4BE0">
              <w:rPr>
                <w:rFonts w:ascii="Arial" w:hAnsi="Arial" w:cs="Arial"/>
                <w:noProof/>
              </w:rPr>
              <w:t>]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DE4BE0">
              <w:rPr>
                <w:rFonts w:ascii="Arial" w:hAnsi="Arial" w:cs="Arial"/>
                <w:noProof/>
              </w:rPr>
              <w:t>=Aî</w:t>
            </w:r>
          </w:p>
        </w:tc>
        <w:tc>
          <w:tcPr>
            <w:tcW w:w="1387" w:type="dxa"/>
          </w:tcPr>
          <w:p w:rsidR="00FA0FDF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</w:rPr>
            </w:pPr>
            <w:r w:rsidRPr="00DE4BE0">
              <w:rPr>
                <w:rFonts w:ascii="Arial" w:hAnsi="Arial" w:cs="Arial"/>
              </w:rPr>
              <w:t>K=</w:t>
            </w: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</w:rPr>
              <w:t xml:space="preserve"> (</w:t>
            </w:r>
            <w:proofErr w:type="spellStart"/>
            <w:r w:rsidRPr="00DE4BE0">
              <w:rPr>
                <w:rFonts w:ascii="Arial" w:hAnsi="Arial" w:cs="Arial"/>
              </w:rPr>
              <w:t>Sş</w:t>
            </w:r>
            <w:proofErr w:type="spellEnd"/>
            <w:r w:rsidRPr="00DE4BE0">
              <w:rPr>
                <w:rFonts w:ascii="Arial" w:hAnsi="Arial" w:cs="Arial"/>
              </w:rPr>
              <w:t xml:space="preserve"> / </w:t>
            </w:r>
            <w:proofErr w:type="spellStart"/>
            <w:r w:rsidRPr="00DE4BE0">
              <w:rPr>
                <w:rFonts w:ascii="Arial" w:hAnsi="Arial" w:cs="Arial"/>
              </w:rPr>
              <w:t>Aî</w:t>
            </w:r>
            <w:proofErr w:type="spellEnd"/>
            <w:r w:rsidRPr="00DE4BE0">
              <w:rPr>
                <w:rFonts w:ascii="Arial" w:hAnsi="Arial" w:cs="Arial"/>
              </w:rPr>
              <w:t>) x100 %</w:t>
            </w:r>
          </w:p>
        </w:tc>
        <w:tc>
          <w:tcPr>
            <w:tcW w:w="142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proofErr w:type="spellStart"/>
            <w:r w:rsidRPr="00DE4BE0">
              <w:rPr>
                <w:rFonts w:ascii="Arial" w:hAnsi="Arial" w:cs="Arial"/>
              </w:rPr>
              <w:t>Ap</w:t>
            </w:r>
            <w:proofErr w:type="spellEnd"/>
            <w:r w:rsidRPr="00DE4BE0">
              <w:rPr>
                <w:rFonts w:ascii="Arial" w:hAnsi="Arial" w:cs="Arial"/>
              </w:rPr>
              <w:t xml:space="preserve"> = </w:t>
            </w:r>
            <w:proofErr w:type="spellStart"/>
            <w:r w:rsidRPr="00DE4BE0">
              <w:rPr>
                <w:rFonts w:ascii="Arial" w:hAnsi="Arial" w:cs="Arial"/>
              </w:rPr>
              <w:t>Aî</w:t>
            </w:r>
            <w:proofErr w:type="spellEnd"/>
            <w:r w:rsidRPr="00DE4BE0">
              <w:rPr>
                <w:rFonts w:ascii="Arial" w:hAnsi="Arial" w:cs="Arial"/>
              </w:rPr>
              <w:t xml:space="preserve"> -</w:t>
            </w:r>
            <w:proofErr w:type="spellStart"/>
            <w:r w:rsidRPr="00DE4BE0">
              <w:rPr>
                <w:rFonts w:ascii="Arial" w:hAnsi="Arial" w:cs="Arial"/>
              </w:rPr>
              <w:t>Sş</w:t>
            </w:r>
            <w:proofErr w:type="spellEnd"/>
          </w:p>
        </w:tc>
        <w:tc>
          <w:tcPr>
            <w:tcW w:w="1590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center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</w:rPr>
              <w:t>P = (</w:t>
            </w:r>
            <w:proofErr w:type="spellStart"/>
            <w:r w:rsidRPr="00DE4BE0">
              <w:rPr>
                <w:rFonts w:ascii="Arial" w:hAnsi="Arial" w:cs="Arial"/>
              </w:rPr>
              <w:t>Ap</w:t>
            </w:r>
            <w:proofErr w:type="spellEnd"/>
            <w:r w:rsidRPr="00DE4BE0">
              <w:rPr>
                <w:rFonts w:ascii="Arial" w:hAnsi="Arial" w:cs="Arial"/>
              </w:rPr>
              <w:t xml:space="preserve">/ </w:t>
            </w:r>
            <w:proofErr w:type="spellStart"/>
            <w:r w:rsidRPr="00DE4BE0">
              <w:rPr>
                <w:rFonts w:ascii="Arial" w:hAnsi="Arial" w:cs="Arial"/>
              </w:rPr>
              <w:t>Aî</w:t>
            </w:r>
            <w:proofErr w:type="spellEnd"/>
            <w:r w:rsidRPr="00DE4BE0">
              <w:rPr>
                <w:rFonts w:ascii="Arial" w:hAnsi="Arial" w:cs="Arial"/>
              </w:rPr>
              <w:t>) x100 %</w:t>
            </w:r>
          </w:p>
        </w:tc>
      </w:tr>
      <w:tr w:rsidR="00FA0FDF" w:rsidRPr="00DE4BE0" w:rsidTr="004316B4">
        <w:tc>
          <w:tcPr>
            <w:tcW w:w="821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A</w:t>
            </w:r>
          </w:p>
        </w:tc>
        <w:tc>
          <w:tcPr>
            <w:tcW w:w="1297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0,9m</w:t>
            </w:r>
          </w:p>
        </w:tc>
        <w:tc>
          <w:tcPr>
            <w:tcW w:w="1137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1,5m</w:t>
            </w:r>
          </w:p>
        </w:tc>
        <w:tc>
          <w:tcPr>
            <w:tcW w:w="117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0,9m</w:t>
            </w:r>
          </w:p>
        </w:tc>
        <w:tc>
          <w:tcPr>
            <w:tcW w:w="117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  <w:vertAlign w:val="superscript"/>
              </w:rPr>
            </w:pPr>
            <w:r w:rsidRPr="00DE4BE0">
              <w:rPr>
                <w:rFonts w:ascii="Arial" w:hAnsi="Arial" w:cs="Arial"/>
                <w:noProof/>
              </w:rPr>
              <w:t>1,35 m</w:t>
            </w:r>
            <w:r w:rsidRPr="00DE4BE0">
              <w:rPr>
                <w:rFonts w:ascii="Arial" w:hAnsi="Arial" w:cs="Arial"/>
                <w:noProof/>
                <w:vertAlign w:val="superscript"/>
              </w:rPr>
              <w:t>2</w:t>
            </w:r>
          </w:p>
        </w:tc>
        <w:tc>
          <w:tcPr>
            <w:tcW w:w="1387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88,88 %</w:t>
            </w:r>
          </w:p>
        </w:tc>
        <w:tc>
          <w:tcPr>
            <w:tcW w:w="142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  <w:vertAlign w:val="superscript"/>
              </w:rPr>
            </w:pPr>
            <w:r w:rsidRPr="00DE4BE0">
              <w:rPr>
                <w:rFonts w:ascii="Arial" w:hAnsi="Arial" w:cs="Arial"/>
                <w:noProof/>
              </w:rPr>
              <w:t>0,15m</w:t>
            </w:r>
            <w:r w:rsidRPr="00DE4BE0">
              <w:rPr>
                <w:rFonts w:ascii="Arial" w:hAnsi="Arial" w:cs="Arial"/>
                <w:noProof/>
                <w:vertAlign w:val="superscript"/>
              </w:rPr>
              <w:t>2</w:t>
            </w:r>
          </w:p>
        </w:tc>
        <w:tc>
          <w:tcPr>
            <w:tcW w:w="1590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11,12 %</w:t>
            </w:r>
          </w:p>
        </w:tc>
      </w:tr>
      <w:tr w:rsidR="00FA0FDF" w:rsidRPr="00DE4BE0" w:rsidTr="004316B4">
        <w:tc>
          <w:tcPr>
            <w:tcW w:w="821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B</w:t>
            </w:r>
          </w:p>
        </w:tc>
        <w:tc>
          <w:tcPr>
            <w:tcW w:w="1297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1,10 m</w:t>
            </w:r>
          </w:p>
        </w:tc>
        <w:tc>
          <w:tcPr>
            <w:tcW w:w="1137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1,5 m</w:t>
            </w:r>
          </w:p>
        </w:tc>
        <w:tc>
          <w:tcPr>
            <w:tcW w:w="117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1,10 m</w:t>
            </w:r>
          </w:p>
        </w:tc>
        <w:tc>
          <w:tcPr>
            <w:tcW w:w="117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  <w:vertAlign w:val="superscript"/>
              </w:rPr>
            </w:pPr>
            <w:r w:rsidRPr="00DE4BE0">
              <w:rPr>
                <w:rFonts w:ascii="Arial" w:hAnsi="Arial" w:cs="Arial"/>
                <w:noProof/>
              </w:rPr>
              <w:t>1,65 m</w:t>
            </w:r>
            <w:r w:rsidRPr="00DE4BE0">
              <w:rPr>
                <w:rFonts w:ascii="Arial" w:hAnsi="Arial" w:cs="Arial"/>
                <w:noProof/>
                <w:vertAlign w:val="superscript"/>
              </w:rPr>
              <w:t>2</w:t>
            </w:r>
          </w:p>
        </w:tc>
        <w:tc>
          <w:tcPr>
            <w:tcW w:w="1387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72,72%</w:t>
            </w:r>
          </w:p>
        </w:tc>
        <w:tc>
          <w:tcPr>
            <w:tcW w:w="1426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  <w:vertAlign w:val="superscript"/>
              </w:rPr>
            </w:pPr>
            <w:r w:rsidRPr="00DE4BE0">
              <w:rPr>
                <w:rFonts w:ascii="Arial" w:hAnsi="Arial" w:cs="Arial"/>
                <w:noProof/>
              </w:rPr>
              <w:t>0,45 m</w:t>
            </w:r>
            <w:r w:rsidRPr="00DE4BE0">
              <w:rPr>
                <w:rFonts w:ascii="Arial" w:hAnsi="Arial" w:cs="Arial"/>
                <w:noProof/>
                <w:vertAlign w:val="superscript"/>
              </w:rPr>
              <w:t>2</w:t>
            </w:r>
          </w:p>
        </w:tc>
        <w:tc>
          <w:tcPr>
            <w:tcW w:w="1590" w:type="dxa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noProof/>
              </w:rPr>
            </w:pPr>
            <w:r w:rsidRPr="00DE4BE0">
              <w:rPr>
                <w:rFonts w:ascii="Arial" w:hAnsi="Arial" w:cs="Arial"/>
                <w:noProof/>
              </w:rPr>
              <w:t>27,28 %</w:t>
            </w:r>
          </w:p>
        </w:tc>
      </w:tr>
      <w:tr w:rsidR="00FA0FDF" w:rsidRPr="004A77C8" w:rsidTr="004316B4">
        <w:trPr>
          <w:cantSplit/>
        </w:trPr>
        <w:tc>
          <w:tcPr>
            <w:tcW w:w="10010" w:type="dxa"/>
            <w:gridSpan w:val="8"/>
            <w:shd w:val="clear" w:color="auto" w:fill="FFFFFF"/>
          </w:tcPr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Cs/>
                <w:noProof/>
                <w:lang w:val="fr-FR"/>
              </w:rPr>
            </w:pPr>
            <w:r w:rsidRPr="00DE4BE0">
              <w:rPr>
                <w:rFonts w:ascii="Arial" w:hAnsi="Arial" w:cs="Arial"/>
                <w:bCs/>
                <w:noProof/>
                <w:lang w:val="fr-FR"/>
              </w:rPr>
              <w:t>Încadrarea cea mai eficientă este încadrarea pe material desfăcut. Coeficien</w:t>
            </w:r>
            <w:r>
              <w:rPr>
                <w:rFonts w:ascii="Arial" w:hAnsi="Arial" w:cs="Arial"/>
                <w:bCs/>
                <w:noProof/>
                <w:lang w:val="fr-FR"/>
              </w:rPr>
              <w:t xml:space="preserve">tul de utilizare al suprafeţei </w:t>
            </w:r>
            <w:r w:rsidRPr="00DE4BE0">
              <w:rPr>
                <w:rFonts w:ascii="Arial" w:hAnsi="Arial" w:cs="Arial"/>
                <w:bCs/>
                <w:noProof/>
                <w:lang w:val="fr-FR"/>
              </w:rPr>
              <w:t xml:space="preserve">este 88,88%, iar pierderile de material de 11,12 %, faţă de încadrarea de material dublu, la care coeficientul de utilizare al suprafeţei este de 72,72%, iar pierderile sunt mai mari de 27,27 %. Acest lucru este posibil deoarece la încadrarea pe material desfăcut numărul şabloanelor e dublu, deci există mai multe posibilităţi de aranjare a şabloanelor şi utilizarea suprafeţei mai raţională.  </w:t>
            </w:r>
          </w:p>
          <w:p w:rsidR="00FA0FDF" w:rsidRPr="00DE4BE0" w:rsidRDefault="00FA0FDF" w:rsidP="004316B4">
            <w:pPr>
              <w:tabs>
                <w:tab w:val="left" w:pos="1701"/>
                <w:tab w:val="left" w:pos="1843"/>
                <w:tab w:val="left" w:pos="1985"/>
                <w:tab w:val="left" w:pos="2268"/>
                <w:tab w:val="left" w:pos="2410"/>
                <w:tab w:val="left" w:pos="3544"/>
                <w:tab w:val="left" w:pos="3686"/>
                <w:tab w:val="left" w:pos="3828"/>
                <w:tab w:val="left" w:pos="5954"/>
                <w:tab w:val="left" w:pos="6096"/>
                <w:tab w:val="left" w:pos="6379"/>
                <w:tab w:val="left" w:pos="9072"/>
              </w:tabs>
              <w:jc w:val="both"/>
              <w:rPr>
                <w:rFonts w:ascii="Arial" w:hAnsi="Arial" w:cs="Arial"/>
                <w:b/>
                <w:bCs/>
                <w:noProof/>
                <w:lang w:val="fr-FR"/>
              </w:rPr>
            </w:pPr>
          </w:p>
        </w:tc>
      </w:tr>
    </w:tbl>
    <w:p w:rsidR="00FA0FDF" w:rsidRPr="00DE4BE0" w:rsidRDefault="00FA0FDF" w:rsidP="00FA0FDF">
      <w:pPr>
        <w:rPr>
          <w:rFonts w:ascii="Arial" w:hAnsi="Arial" w:cs="Arial"/>
          <w:lang w:val="fr-FR"/>
        </w:rPr>
      </w:pPr>
    </w:p>
    <w:p w:rsidR="00FA0FDF" w:rsidRPr="00DE4BE0" w:rsidRDefault="00FA0FDF" w:rsidP="00FA0FDF">
      <w:pPr>
        <w:rPr>
          <w:rFonts w:ascii="Arial" w:hAnsi="Arial" w:cs="Arial"/>
          <w:lang w:val="fr-FR"/>
        </w:rPr>
      </w:pPr>
    </w:p>
    <w:p w:rsidR="00FA0FDF" w:rsidRPr="00DE4BE0" w:rsidRDefault="00FA0FDF" w:rsidP="00FA0FDF">
      <w:pPr>
        <w:jc w:val="both"/>
        <w:rPr>
          <w:rFonts w:ascii="Arial" w:hAnsi="Arial" w:cs="Arial"/>
          <w:lang w:val="fr-FR"/>
        </w:rPr>
      </w:pPr>
    </w:p>
    <w:p w:rsidR="00FA0FDF" w:rsidRPr="00DE4BE0" w:rsidRDefault="00FA0FDF" w:rsidP="00FA0FDF">
      <w:pPr>
        <w:rPr>
          <w:rFonts w:ascii="Arial" w:hAnsi="Arial" w:cs="Arial"/>
          <w:b/>
          <w:lang w:val="it-IT"/>
        </w:rPr>
      </w:pPr>
    </w:p>
    <w:p w:rsidR="008569BB" w:rsidRDefault="008569BB"/>
    <w:sectPr w:rsidR="008569BB" w:rsidSect="00856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9564C"/>
    <w:multiLevelType w:val="hybridMultilevel"/>
    <w:tmpl w:val="53C8A1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0FDF"/>
    <w:rsid w:val="008569BB"/>
    <w:rsid w:val="00FA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FA0FDF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FA0FDF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FA0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Titi</cp:lastModifiedBy>
  <cp:revision>1</cp:revision>
  <dcterms:created xsi:type="dcterms:W3CDTF">2021-11-04T07:54:00Z</dcterms:created>
  <dcterms:modified xsi:type="dcterms:W3CDTF">2021-11-04T07:54:00Z</dcterms:modified>
</cp:coreProperties>
</file>